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page" w:horzAnchor="page" w:tblpX="775" w:tblpY="1474"/>
        <w:tblW w:w="10134" w:type="dxa"/>
        <w:shd w:val="clear" w:color="auto" w:fill="CCE0DA"/>
        <w:tblLayout w:type="fixed"/>
        <w:tblCellMar>
          <w:left w:w="0" w:type="dxa"/>
          <w:right w:w="0" w:type="dxa"/>
        </w:tblCellMar>
        <w:tblLook w:val="01E0" w:firstRow="1" w:lastRow="1" w:firstColumn="1" w:lastColumn="1" w:noHBand="0" w:noVBand="0"/>
      </w:tblPr>
      <w:tblGrid>
        <w:gridCol w:w="913"/>
        <w:gridCol w:w="7060"/>
        <w:gridCol w:w="2161"/>
      </w:tblGrid>
      <w:tr w:rsidR="006F19E3" w:rsidRPr="00EB32BB" w14:paraId="05BB4E8A" w14:textId="77777777" w:rsidTr="00AF7744">
        <w:trPr>
          <w:trHeight w:val="826"/>
        </w:trPr>
        <w:tc>
          <w:tcPr>
            <w:tcW w:w="7973" w:type="dxa"/>
            <w:gridSpan w:val="2"/>
            <w:tcBorders>
              <w:top w:val="single" w:sz="4" w:space="0" w:color="4A8958"/>
              <w:left w:val="single" w:sz="4" w:space="0" w:color="4A8958"/>
              <w:bottom w:val="single" w:sz="4" w:space="0" w:color="4A8958"/>
              <w:right w:val="single" w:sz="4" w:space="0" w:color="4A8958"/>
            </w:tcBorders>
            <w:shd w:val="clear" w:color="auto" w:fill="0096D7"/>
          </w:tcPr>
          <w:p w14:paraId="2D6CE965" w14:textId="77777777" w:rsidR="005079E0" w:rsidRPr="00EB32BB" w:rsidRDefault="00407BD8" w:rsidP="00784486">
            <w:pPr>
              <w:pStyle w:val="Header"/>
              <w:spacing w:before="0" w:after="0"/>
              <w:ind w:left="-284"/>
              <w:rPr>
                <w:rFonts w:cs="Arial"/>
              </w:rPr>
            </w:pPr>
            <w:r>
              <w:rPr>
                <w:rFonts w:cs="Arial"/>
              </w:rPr>
              <w:t xml:space="preserve">  </w:t>
            </w:r>
            <w:r w:rsidR="00CA136E">
              <w:rPr>
                <w:rFonts w:cs="Arial"/>
              </w:rPr>
              <w:tab/>
            </w:r>
          </w:p>
          <w:p w14:paraId="46428E6C" w14:textId="77777777" w:rsidR="006F19E3" w:rsidRPr="00F20FAB" w:rsidRDefault="00ED0E84" w:rsidP="00CA136E">
            <w:pPr>
              <w:tabs>
                <w:tab w:val="left" w:pos="2901"/>
              </w:tabs>
              <w:spacing w:before="240" w:after="240"/>
              <w:ind w:left="113"/>
              <w:rPr>
                <w:rFonts w:cs="Arial"/>
                <w:b/>
                <w:color w:val="FFFFFF"/>
                <w:sz w:val="28"/>
                <w:szCs w:val="28"/>
              </w:rPr>
            </w:pPr>
            <w:r>
              <w:rPr>
                <w:rFonts w:cs="Arial"/>
                <w:b/>
                <w:color w:val="FFFFFF"/>
                <w:sz w:val="28"/>
                <w:szCs w:val="28"/>
              </w:rPr>
              <w:t xml:space="preserve">DCUSA </w:t>
            </w:r>
            <w:r w:rsidR="00CA136E">
              <w:rPr>
                <w:rFonts w:cs="Arial"/>
                <w:b/>
                <w:color w:val="FFFFFF"/>
                <w:sz w:val="28"/>
                <w:szCs w:val="28"/>
              </w:rPr>
              <w:t>Consultation</w:t>
            </w:r>
          </w:p>
        </w:tc>
        <w:tc>
          <w:tcPr>
            <w:tcW w:w="2161" w:type="dxa"/>
            <w:tcBorders>
              <w:top w:val="single" w:sz="4" w:space="0" w:color="4A8958"/>
              <w:left w:val="single" w:sz="4" w:space="0" w:color="4A8958"/>
              <w:bottom w:val="single" w:sz="4" w:space="0" w:color="4A8958"/>
              <w:right w:val="single" w:sz="4" w:space="0" w:color="4A8958"/>
            </w:tcBorders>
            <w:shd w:val="clear" w:color="auto" w:fill="0096D7"/>
          </w:tcPr>
          <w:p w14:paraId="025EB10F" w14:textId="77777777" w:rsidR="006F19E3" w:rsidRPr="00EB32BB" w:rsidRDefault="006F19E3" w:rsidP="006F19E3">
            <w:pPr>
              <w:pStyle w:val="BlockText"/>
              <w:spacing w:line="240" w:lineRule="auto"/>
              <w:ind w:left="57" w:right="-57"/>
              <w:rPr>
                <w:rFonts w:cs="Arial"/>
                <w:sz w:val="20"/>
                <w:szCs w:val="20"/>
              </w:rPr>
            </w:pPr>
            <w:r w:rsidRPr="00EB32BB">
              <w:rPr>
                <w:rFonts w:cs="Arial"/>
                <w:sz w:val="20"/>
                <w:szCs w:val="20"/>
              </w:rPr>
              <w:t>At what stage is this document in the process?</w:t>
            </w:r>
          </w:p>
        </w:tc>
      </w:tr>
      <w:tr w:rsidR="006F19E3" w:rsidRPr="00EB32BB" w14:paraId="6B21FE6A" w14:textId="77777777" w:rsidTr="006F19E3">
        <w:trPr>
          <w:trHeight w:val="2725"/>
        </w:trPr>
        <w:tc>
          <w:tcPr>
            <w:tcW w:w="7973" w:type="dxa"/>
            <w:gridSpan w:val="2"/>
            <w:tcBorders>
              <w:top w:val="single" w:sz="4" w:space="0" w:color="4A8958"/>
              <w:left w:val="single" w:sz="4" w:space="0" w:color="4A8958"/>
              <w:bottom w:val="single" w:sz="4" w:space="0" w:color="4A8958"/>
              <w:right w:val="single" w:sz="4" w:space="0" w:color="4A8958"/>
            </w:tcBorders>
            <w:shd w:val="clear" w:color="auto" w:fill="auto"/>
          </w:tcPr>
          <w:p w14:paraId="7DC0BF8D" w14:textId="77777777" w:rsidR="001C460B" w:rsidRDefault="00710290" w:rsidP="006F19E3">
            <w:pPr>
              <w:ind w:left="113" w:right="113"/>
              <w:rPr>
                <w:rFonts w:cs="Arial"/>
                <w:color w:val="008576"/>
                <w:sz w:val="80"/>
                <w:szCs w:val="80"/>
              </w:rPr>
            </w:pPr>
            <w:r>
              <w:rPr>
                <w:rFonts w:cs="Arial"/>
                <w:color w:val="008576"/>
                <w:sz w:val="80"/>
                <w:szCs w:val="80"/>
              </w:rPr>
              <w:t>DCP 306</w:t>
            </w:r>
          </w:p>
          <w:p w14:paraId="668176A0" w14:textId="77777777" w:rsidR="00D93A95" w:rsidRDefault="00710290" w:rsidP="00D36FC3">
            <w:pPr>
              <w:ind w:left="113" w:right="113"/>
              <w:rPr>
                <w:rFonts w:cs="Arial"/>
                <w:color w:val="008000"/>
                <w:sz w:val="24"/>
              </w:rPr>
            </w:pPr>
            <w:r>
              <w:rPr>
                <w:rFonts w:cs="Arial"/>
                <w:color w:val="008000"/>
                <w:sz w:val="48"/>
                <w:szCs w:val="48"/>
              </w:rPr>
              <w:t>Treatment of Ofgem Licence Fees within the PCDM</w:t>
            </w:r>
            <w:r w:rsidR="001C460B" w:rsidRPr="001C460B">
              <w:rPr>
                <w:rFonts w:cs="Arial"/>
                <w:color w:val="008000"/>
                <w:sz w:val="48"/>
                <w:szCs w:val="48"/>
              </w:rPr>
              <w:t xml:space="preserve"> </w:t>
            </w:r>
          </w:p>
          <w:p w14:paraId="0FB0D722" w14:textId="77777777" w:rsidR="001C460B" w:rsidRDefault="001C460B" w:rsidP="00E25A24">
            <w:pPr>
              <w:ind w:left="113" w:right="113"/>
              <w:rPr>
                <w:rFonts w:cs="Arial"/>
                <w:i/>
                <w:color w:val="00B274"/>
                <w:sz w:val="24"/>
              </w:rPr>
            </w:pPr>
          </w:p>
          <w:p w14:paraId="0E39E243" w14:textId="77777777" w:rsidR="00D93A95" w:rsidRPr="00EB32BB" w:rsidRDefault="00857BF6" w:rsidP="001C460B">
            <w:pPr>
              <w:ind w:right="113"/>
              <w:rPr>
                <w:rFonts w:cs="Arial"/>
                <w:i/>
                <w:color w:val="00B274"/>
                <w:sz w:val="24"/>
              </w:rPr>
            </w:pPr>
            <w:r>
              <w:rPr>
                <w:rFonts w:cs="Arial"/>
                <w:i/>
                <w:color w:val="00B274"/>
                <w:sz w:val="24"/>
              </w:rPr>
              <w:t>R</w:t>
            </w:r>
            <w:r w:rsidR="00370895">
              <w:rPr>
                <w:rFonts w:cs="Arial"/>
                <w:i/>
                <w:color w:val="00B274"/>
                <w:sz w:val="24"/>
              </w:rPr>
              <w:t>aised</w:t>
            </w:r>
            <w:r w:rsidR="001C460B">
              <w:rPr>
                <w:rFonts w:cs="Arial"/>
                <w:i/>
                <w:color w:val="00B274"/>
                <w:sz w:val="24"/>
              </w:rPr>
              <w:t xml:space="preserve"> on the </w:t>
            </w:r>
            <w:r w:rsidR="00710290">
              <w:rPr>
                <w:rFonts w:cs="Arial"/>
                <w:i/>
                <w:color w:val="00B274"/>
                <w:sz w:val="24"/>
              </w:rPr>
              <w:t>12 July 2017</w:t>
            </w:r>
            <w:r w:rsidR="00207680">
              <w:rPr>
                <w:rFonts w:cs="Arial"/>
                <w:i/>
                <w:color w:val="00B274"/>
                <w:sz w:val="24"/>
              </w:rPr>
              <w:t xml:space="preserve"> as a</w:t>
            </w:r>
            <w:r w:rsidR="001C460B">
              <w:rPr>
                <w:rFonts w:cs="Arial"/>
                <w:i/>
                <w:color w:val="00B274"/>
                <w:sz w:val="24"/>
              </w:rPr>
              <w:t xml:space="preserve"> Standard</w:t>
            </w:r>
            <w:r w:rsidR="00D519F7">
              <w:rPr>
                <w:rFonts w:cs="Arial"/>
                <w:i/>
                <w:color w:val="00B274"/>
                <w:sz w:val="24"/>
              </w:rPr>
              <w:t xml:space="preserve"> Change</w:t>
            </w:r>
          </w:p>
        </w:tc>
        <w:tc>
          <w:tcPr>
            <w:tcW w:w="2161" w:type="dxa"/>
            <w:tcBorders>
              <w:top w:val="single" w:sz="4" w:space="0" w:color="4A8958"/>
              <w:left w:val="single" w:sz="4" w:space="0" w:color="FFFFFF"/>
              <w:bottom w:val="single" w:sz="4" w:space="0" w:color="4A8958"/>
              <w:right w:val="single" w:sz="4" w:space="0" w:color="4A8958"/>
            </w:tcBorders>
            <w:shd w:val="clear" w:color="auto" w:fill="auto"/>
          </w:tcPr>
          <w:tbl>
            <w:tblPr>
              <w:tblW w:w="207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5"/>
            </w:tblGrid>
            <w:tr w:rsidR="00F770DC" w:rsidRPr="00881D23" w14:paraId="561A11FF" w14:textId="77777777" w:rsidTr="00C4569B">
              <w:trPr>
                <w:trHeight w:val="820"/>
              </w:trPr>
              <w:tc>
                <w:tcPr>
                  <w:tcW w:w="2075" w:type="dxa"/>
                  <w:shd w:val="clear" w:color="auto" w:fill="auto"/>
                  <w:vAlign w:val="center"/>
                </w:tcPr>
                <w:p w14:paraId="5DA9CC93" w14:textId="77777777" w:rsidR="00F770DC" w:rsidRPr="000E1892" w:rsidRDefault="00F770DC" w:rsidP="008B37A3">
                  <w:pPr>
                    <w:framePr w:hSpace="180" w:wrap="around" w:vAnchor="page" w:hAnchor="page" w:x="775" w:y="1474"/>
                    <w:spacing w:line="240" w:lineRule="auto"/>
                    <w:ind w:right="28"/>
                    <w:rPr>
                      <w:rFonts w:cs="Arial"/>
                      <w:b/>
                      <w:color w:val="00CC66"/>
                      <w:szCs w:val="20"/>
                    </w:rPr>
                  </w:pPr>
                  <w:r w:rsidRPr="000E1892">
                    <w:rPr>
                      <w:rFonts w:cs="Arial"/>
                      <w:b/>
                      <w:color w:val="00B274"/>
                      <w:szCs w:val="20"/>
                    </w:rPr>
                    <w:t>01 – Change Proposal</w:t>
                  </w:r>
                </w:p>
              </w:tc>
            </w:tr>
            <w:tr w:rsidR="00F770DC" w:rsidRPr="00881D23" w14:paraId="19A5BC45" w14:textId="77777777" w:rsidTr="00F770DC">
              <w:trPr>
                <w:trHeight w:val="802"/>
              </w:trPr>
              <w:tc>
                <w:tcPr>
                  <w:tcW w:w="2075" w:type="dxa"/>
                  <w:shd w:val="clear" w:color="auto" w:fill="0096D7"/>
                  <w:vAlign w:val="center"/>
                </w:tcPr>
                <w:p w14:paraId="4131415F" w14:textId="77777777" w:rsidR="00F770DC" w:rsidRPr="00C4569B" w:rsidRDefault="00F770DC" w:rsidP="008B37A3">
                  <w:pPr>
                    <w:framePr w:hSpace="180" w:wrap="around" w:vAnchor="page" w:hAnchor="page" w:x="775" w:y="1474"/>
                    <w:spacing w:line="240" w:lineRule="auto"/>
                    <w:ind w:right="28"/>
                    <w:rPr>
                      <w:rFonts w:cs="Arial"/>
                      <w:b/>
                      <w:color w:val="FFFFFF"/>
                      <w:szCs w:val="20"/>
                    </w:rPr>
                  </w:pPr>
                  <w:r w:rsidRPr="00C4569B">
                    <w:rPr>
                      <w:rFonts w:cs="Arial"/>
                      <w:b/>
                      <w:color w:val="FFFFFF"/>
                      <w:szCs w:val="20"/>
                    </w:rPr>
                    <w:t xml:space="preserve">02 – Consultation </w:t>
                  </w:r>
                </w:p>
              </w:tc>
            </w:tr>
            <w:tr w:rsidR="00F770DC" w:rsidRPr="00881D23" w14:paraId="23390987" w14:textId="77777777" w:rsidTr="00F770DC">
              <w:trPr>
                <w:trHeight w:val="800"/>
              </w:trPr>
              <w:tc>
                <w:tcPr>
                  <w:tcW w:w="2075" w:type="dxa"/>
                  <w:shd w:val="clear" w:color="auto" w:fill="auto"/>
                  <w:vAlign w:val="center"/>
                </w:tcPr>
                <w:p w14:paraId="063465FB" w14:textId="77777777" w:rsidR="00F770DC" w:rsidRPr="00F770DC" w:rsidRDefault="0007537E" w:rsidP="008B37A3">
                  <w:pPr>
                    <w:framePr w:hSpace="180" w:wrap="around" w:vAnchor="page" w:hAnchor="page" w:x="775" w:y="1474"/>
                    <w:spacing w:line="240" w:lineRule="auto"/>
                    <w:ind w:right="28"/>
                    <w:rPr>
                      <w:rFonts w:cs="Arial"/>
                      <w:b/>
                      <w:color w:val="9A4D9E"/>
                      <w:szCs w:val="20"/>
                    </w:rPr>
                  </w:pPr>
                  <w:r>
                    <w:rPr>
                      <w:rFonts w:cs="Arial"/>
                      <w:b/>
                      <w:color w:val="9A4D9E"/>
                      <w:szCs w:val="20"/>
                    </w:rPr>
                    <w:t xml:space="preserve">03 – </w:t>
                  </w:r>
                  <w:r w:rsidR="00F770DC" w:rsidRPr="00F770DC">
                    <w:rPr>
                      <w:rFonts w:cs="Arial"/>
                      <w:b/>
                      <w:color w:val="9A4D9E"/>
                      <w:szCs w:val="20"/>
                    </w:rPr>
                    <w:t>Change Report</w:t>
                  </w:r>
                </w:p>
              </w:tc>
            </w:tr>
            <w:tr w:rsidR="00F770DC" w:rsidRPr="00881D23" w14:paraId="58C90E15" w14:textId="77777777" w:rsidTr="00C4569B">
              <w:trPr>
                <w:trHeight w:val="795"/>
              </w:trPr>
              <w:tc>
                <w:tcPr>
                  <w:tcW w:w="2075" w:type="dxa"/>
                  <w:shd w:val="clear" w:color="auto" w:fill="FFFFFF"/>
                  <w:vAlign w:val="center"/>
                </w:tcPr>
                <w:p w14:paraId="5E2F547C" w14:textId="77777777" w:rsidR="00F770DC" w:rsidRPr="00881D23" w:rsidRDefault="00F770DC" w:rsidP="008B37A3">
                  <w:pPr>
                    <w:framePr w:hSpace="180" w:wrap="around" w:vAnchor="page" w:hAnchor="page" w:x="775" w:y="1474"/>
                    <w:spacing w:line="240" w:lineRule="auto"/>
                    <w:ind w:right="28"/>
                    <w:rPr>
                      <w:rFonts w:cs="Arial"/>
                      <w:b/>
                      <w:color w:val="F59114"/>
                      <w:szCs w:val="20"/>
                    </w:rPr>
                  </w:pPr>
                  <w:r w:rsidRPr="00881D23">
                    <w:rPr>
                      <w:rFonts w:cs="Arial"/>
                      <w:b/>
                      <w:color w:val="F59114"/>
                      <w:szCs w:val="20"/>
                    </w:rPr>
                    <w:t xml:space="preserve">04 – </w:t>
                  </w:r>
                  <w:r w:rsidR="00E20E29">
                    <w:rPr>
                      <w:rFonts w:cs="Arial"/>
                      <w:b/>
                      <w:color w:val="F59114"/>
                      <w:szCs w:val="20"/>
                    </w:rPr>
                    <w:t>Change Declaration</w:t>
                  </w:r>
                </w:p>
              </w:tc>
            </w:tr>
          </w:tbl>
          <w:p w14:paraId="342E3131" w14:textId="77777777" w:rsidR="006F19E3" w:rsidRPr="00EB32BB" w:rsidRDefault="006F19E3" w:rsidP="00FE4A41">
            <w:pPr>
              <w:spacing w:line="240" w:lineRule="auto"/>
              <w:ind w:left="28" w:right="28"/>
              <w:rPr>
                <w:rFonts w:cs="Arial"/>
                <w:color w:val="008576"/>
                <w:szCs w:val="20"/>
              </w:rPr>
            </w:pPr>
          </w:p>
        </w:tc>
      </w:tr>
      <w:tr w:rsidR="006F19E3" w:rsidRPr="00EB32BB" w14:paraId="256D1286" w14:textId="77777777" w:rsidTr="006F19E3">
        <w:trPr>
          <w:trHeight w:val="862"/>
        </w:trPr>
        <w:tc>
          <w:tcPr>
            <w:tcW w:w="10134" w:type="dxa"/>
            <w:gridSpan w:val="3"/>
            <w:tcBorders>
              <w:top w:val="single" w:sz="4" w:space="0" w:color="4A8958"/>
              <w:left w:val="single" w:sz="4" w:space="0" w:color="4A8958"/>
              <w:bottom w:val="single" w:sz="4" w:space="0" w:color="4A8958"/>
              <w:right w:val="single" w:sz="4" w:space="0" w:color="4A8958"/>
            </w:tcBorders>
            <w:shd w:val="clear" w:color="auto" w:fill="auto"/>
          </w:tcPr>
          <w:p w14:paraId="122A0BA4" w14:textId="77777777" w:rsidR="006F19E3" w:rsidRPr="00351B9D" w:rsidRDefault="006F19E3" w:rsidP="006F19E3">
            <w:pPr>
              <w:pStyle w:val="BodyText2"/>
              <w:ind w:left="113" w:right="113"/>
              <w:rPr>
                <w:rFonts w:cs="Arial"/>
                <w:b/>
                <w:i/>
                <w:color w:val="00B274"/>
                <w:sz w:val="24"/>
              </w:rPr>
            </w:pPr>
            <w:r w:rsidRPr="00351B9D">
              <w:rPr>
                <w:rFonts w:cs="Arial"/>
                <w:b/>
                <w:sz w:val="24"/>
              </w:rPr>
              <w:t xml:space="preserve">Purpose of </w:t>
            </w:r>
            <w:r w:rsidR="00231812">
              <w:rPr>
                <w:rFonts w:cs="Arial"/>
                <w:b/>
                <w:sz w:val="24"/>
              </w:rPr>
              <w:t>Change Proposal</w:t>
            </w:r>
            <w:r w:rsidRPr="00351B9D">
              <w:rPr>
                <w:rFonts w:cs="Arial"/>
                <w:b/>
                <w:sz w:val="24"/>
              </w:rPr>
              <w:t>:</w:t>
            </w:r>
            <w:r w:rsidRPr="00351B9D">
              <w:rPr>
                <w:rFonts w:cs="Arial"/>
                <w:b/>
                <w:i/>
                <w:color w:val="00B274"/>
                <w:sz w:val="24"/>
              </w:rPr>
              <w:t xml:space="preserve"> </w:t>
            </w:r>
            <w:r w:rsidR="00370895">
              <w:rPr>
                <w:rFonts w:cs="Arial"/>
                <w:i/>
                <w:color w:val="00B274"/>
                <w:sz w:val="24"/>
              </w:rPr>
              <w:t xml:space="preserve"> </w:t>
            </w:r>
          </w:p>
          <w:p w14:paraId="720D520A" w14:textId="77777777" w:rsidR="001C460B" w:rsidRDefault="007C6041" w:rsidP="001C460B">
            <w:pPr>
              <w:ind w:left="113" w:right="113"/>
              <w:rPr>
                <w:sz w:val="24"/>
              </w:rPr>
            </w:pPr>
            <w:r>
              <w:rPr>
                <w:sz w:val="24"/>
              </w:rPr>
              <w:t xml:space="preserve">DCP </w:t>
            </w:r>
            <w:r w:rsidR="00710290">
              <w:rPr>
                <w:sz w:val="24"/>
              </w:rPr>
              <w:t xml:space="preserve">306 seeks to increase the cost reflectivity of the Price Control Disaggregation Model by directly allocating the Ofgem licence fee to an appropriate network tier for the calculation of the </w:t>
            </w:r>
            <w:proofErr w:type="spellStart"/>
            <w:r w:rsidR="00710290">
              <w:rPr>
                <w:sz w:val="24"/>
              </w:rPr>
              <w:t>Opex</w:t>
            </w:r>
            <w:proofErr w:type="spellEnd"/>
            <w:r w:rsidR="00710290">
              <w:rPr>
                <w:sz w:val="24"/>
              </w:rPr>
              <w:t xml:space="preserve"> allocation driver.</w:t>
            </w:r>
          </w:p>
          <w:p w14:paraId="04114412" w14:textId="77777777" w:rsidR="006F19E3" w:rsidRPr="00EB32BB" w:rsidRDefault="00E25A24" w:rsidP="001C460B">
            <w:pPr>
              <w:ind w:left="113" w:right="113"/>
              <w:rPr>
                <w:rFonts w:cs="Arial"/>
              </w:rPr>
            </w:pPr>
            <w:r>
              <w:rPr>
                <w:sz w:val="24"/>
              </w:rPr>
              <w:t>T</w:t>
            </w:r>
            <w:r w:rsidR="003328B8" w:rsidRPr="003328B8">
              <w:rPr>
                <w:sz w:val="24"/>
                <w:szCs w:val="16"/>
              </w:rPr>
              <w:t xml:space="preserve">his document is a Consultation issued to </w:t>
            </w:r>
            <w:r w:rsidR="003328B8">
              <w:rPr>
                <w:sz w:val="24"/>
                <w:szCs w:val="16"/>
              </w:rPr>
              <w:t xml:space="preserve">DCUSA Parties and any other interested Parties </w:t>
            </w:r>
            <w:r w:rsidR="003328B8" w:rsidRPr="003328B8">
              <w:rPr>
                <w:sz w:val="24"/>
                <w:szCs w:val="16"/>
              </w:rPr>
              <w:t>in accordance with Clause 11.14 of the DCUSA seeking industry views on</w:t>
            </w:r>
            <w:r w:rsidR="003328B8">
              <w:rPr>
                <w:sz w:val="24"/>
                <w:szCs w:val="16"/>
              </w:rPr>
              <w:t xml:space="preserve"> DCP </w:t>
            </w:r>
            <w:r w:rsidR="00710290">
              <w:rPr>
                <w:sz w:val="24"/>
                <w:szCs w:val="16"/>
              </w:rPr>
              <w:t>306</w:t>
            </w:r>
            <w:r>
              <w:rPr>
                <w:sz w:val="24"/>
                <w:szCs w:val="16"/>
              </w:rPr>
              <w:t>.</w:t>
            </w:r>
          </w:p>
        </w:tc>
      </w:tr>
      <w:tr w:rsidR="006F19E3" w:rsidRPr="00EB32BB" w14:paraId="6ACAFF6C" w14:textId="77777777" w:rsidTr="006F19E3">
        <w:trPr>
          <w:trHeight w:val="899"/>
        </w:trPr>
        <w:tc>
          <w:tcPr>
            <w:tcW w:w="913" w:type="dxa"/>
            <w:tcBorders>
              <w:top w:val="single" w:sz="4" w:space="0" w:color="4A8958"/>
              <w:left w:val="single" w:sz="4" w:space="0" w:color="4A8958"/>
              <w:bottom w:val="single" w:sz="4" w:space="0" w:color="4A8958"/>
              <w:right w:val="single" w:sz="4" w:space="0" w:color="4A8958"/>
            </w:tcBorders>
            <w:shd w:val="clear" w:color="auto" w:fill="auto"/>
            <w:vAlign w:val="center"/>
          </w:tcPr>
          <w:p w14:paraId="646C6A0E" w14:textId="77777777" w:rsidR="006F19E3" w:rsidRPr="00EB32BB" w:rsidRDefault="00EB5FE7" w:rsidP="006F19E3">
            <w:pPr>
              <w:ind w:firstLine="9"/>
              <w:jc w:val="center"/>
              <w:rPr>
                <w:rFonts w:cs="Arial"/>
              </w:rPr>
            </w:pPr>
            <w:r>
              <w:rPr>
                <w:rFonts w:cs="Arial"/>
                <w:noProof/>
              </w:rPr>
              <w:drawing>
                <wp:inline distT="0" distB="0" distL="0" distR="0" wp14:anchorId="50213960" wp14:editId="25A2E654">
                  <wp:extent cx="476250" cy="476250"/>
                  <wp:effectExtent l="0" t="0" r="0" b="0"/>
                  <wp:docPr id="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76250" cy="476250"/>
                          </a:xfrm>
                          <a:prstGeom prst="rect">
                            <a:avLst/>
                          </a:prstGeom>
                          <a:noFill/>
                          <a:ln>
                            <a:noFill/>
                          </a:ln>
                        </pic:spPr>
                      </pic:pic>
                    </a:graphicData>
                  </a:graphic>
                </wp:inline>
              </w:drawing>
            </w:r>
            <w:r>
              <w:rPr>
                <w:rFonts w:cs="Arial"/>
                <w:noProof/>
              </w:rPr>
              <w:drawing>
                <wp:inline distT="0" distB="0" distL="0" distR="0" wp14:anchorId="756ADECF" wp14:editId="1FF2912E">
                  <wp:extent cx="466725" cy="552450"/>
                  <wp:effectExtent l="0" t="0" r="9525" b="0"/>
                  <wp:docPr id="1" name="Picture 1" descr="Description: Description: YES_GR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YES_GREEN"/>
                          <pic:cNvPicPr>
                            <a:picLocks noChangeAspect="1" noChangeArrowheads="1"/>
                          </pic:cNvPicPr>
                        </pic:nvPicPr>
                        <pic:blipFill>
                          <a:blip r:embed="rId14">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6725" cy="552450"/>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shd w:val="clear" w:color="auto" w:fill="auto"/>
          </w:tcPr>
          <w:p w14:paraId="2E2D90F3" w14:textId="77777777" w:rsidR="00857BF6" w:rsidRDefault="00F770DC" w:rsidP="00C35A97">
            <w:pPr>
              <w:pStyle w:val="BodyText3"/>
              <w:spacing w:before="0" w:after="0" w:line="240" w:lineRule="auto"/>
              <w:ind w:left="113" w:right="113"/>
              <w:rPr>
                <w:rFonts w:cs="Arial"/>
                <w:i/>
                <w:color w:val="00B274"/>
              </w:rPr>
            </w:pPr>
            <w:r w:rsidRPr="00EB32BB">
              <w:t xml:space="preserve">The </w:t>
            </w:r>
            <w:r>
              <w:t>Workgroup</w:t>
            </w:r>
            <w:r w:rsidRPr="00EB32BB">
              <w:t xml:space="preserve"> recommends that this </w:t>
            </w:r>
            <w:r w:rsidR="00944047">
              <w:t xml:space="preserve">Change Proposal </w:t>
            </w:r>
            <w:r w:rsidRPr="00EB32BB">
              <w:t>should:</w:t>
            </w:r>
            <w:r w:rsidRPr="00EB32BB">
              <w:rPr>
                <w:rFonts w:cs="Arial"/>
              </w:rPr>
              <w:t xml:space="preserve"> </w:t>
            </w:r>
          </w:p>
          <w:p w14:paraId="251E8967" w14:textId="0FE74AA9" w:rsidR="00F770DC" w:rsidRDefault="00F770DC" w:rsidP="009D28E8">
            <w:pPr>
              <w:pStyle w:val="BodyText3"/>
              <w:numPr>
                <w:ilvl w:val="0"/>
                <w:numId w:val="39"/>
              </w:numPr>
              <w:spacing w:before="0" w:after="0" w:line="240" w:lineRule="auto"/>
              <w:ind w:right="113"/>
              <w:rPr>
                <w:rFonts w:cs="Arial"/>
              </w:rPr>
            </w:pPr>
            <w:r w:rsidRPr="00EB32BB">
              <w:rPr>
                <w:rFonts w:cs="Arial"/>
              </w:rPr>
              <w:t xml:space="preserve">proceed to </w:t>
            </w:r>
            <w:r w:rsidR="002249A0">
              <w:rPr>
                <w:rFonts w:cs="Arial"/>
              </w:rPr>
              <w:t>a second</w:t>
            </w:r>
            <w:r w:rsidR="005B33F9">
              <w:rPr>
                <w:rFonts w:cs="Arial"/>
              </w:rPr>
              <w:t xml:space="preserve"> </w:t>
            </w:r>
            <w:r w:rsidRPr="00EB32BB">
              <w:rPr>
                <w:rFonts w:cs="Arial"/>
              </w:rPr>
              <w:t>Consultation</w:t>
            </w:r>
          </w:p>
          <w:p w14:paraId="1F8A0711" w14:textId="5CACD4B2" w:rsidR="00231812" w:rsidRDefault="003328B8" w:rsidP="00C35A97">
            <w:pPr>
              <w:pStyle w:val="Heading2"/>
              <w:spacing w:before="240" w:after="60" w:line="240" w:lineRule="auto"/>
              <w:jc w:val="both"/>
              <w:rPr>
                <w:rFonts w:cs="Times New Roman"/>
                <w:b/>
                <w:bCs w:val="0"/>
                <w:iCs w:val="0"/>
                <w:color w:val="auto"/>
                <w:sz w:val="24"/>
                <w:szCs w:val="16"/>
              </w:rPr>
            </w:pPr>
            <w:r w:rsidRPr="003328B8">
              <w:rPr>
                <w:rFonts w:cs="Times New Roman"/>
                <w:bCs w:val="0"/>
                <w:iCs w:val="0"/>
                <w:color w:val="auto"/>
                <w:sz w:val="24"/>
                <w:szCs w:val="16"/>
              </w:rPr>
              <w:t xml:space="preserve">Parties are invited to consider the questions set </w:t>
            </w:r>
            <w:r w:rsidR="00067E74">
              <w:rPr>
                <w:rFonts w:cs="Times New Roman"/>
                <w:bCs w:val="0"/>
                <w:iCs w:val="0"/>
                <w:color w:val="auto"/>
                <w:sz w:val="24"/>
                <w:szCs w:val="16"/>
              </w:rPr>
              <w:t>in section 10</w:t>
            </w:r>
            <w:r w:rsidRPr="003328B8">
              <w:rPr>
                <w:rFonts w:cs="Times New Roman"/>
                <w:bCs w:val="0"/>
                <w:iCs w:val="0"/>
                <w:color w:val="auto"/>
                <w:sz w:val="24"/>
                <w:szCs w:val="16"/>
              </w:rPr>
              <w:t xml:space="preserve"> and submit comments using the form attached as </w:t>
            </w:r>
            <w:r w:rsidRPr="00270472">
              <w:rPr>
                <w:bCs w:val="0"/>
                <w:iCs w:val="0"/>
                <w:color w:val="auto"/>
                <w:sz w:val="24"/>
                <w:szCs w:val="24"/>
              </w:rPr>
              <w:t>Attachment 1 to</w:t>
            </w:r>
            <w:r w:rsidRPr="00270472">
              <w:rPr>
                <w:color w:val="000000"/>
                <w:sz w:val="24"/>
                <w:szCs w:val="24"/>
              </w:rPr>
              <w:t xml:space="preserve"> </w:t>
            </w:r>
            <w:r w:rsidRPr="00270472">
              <w:rPr>
                <w:color w:val="0000FF"/>
                <w:sz w:val="24"/>
                <w:szCs w:val="24"/>
                <w:u w:val="single"/>
              </w:rPr>
              <w:t>dcusa@electralink.co.uk</w:t>
            </w:r>
            <w:r w:rsidRPr="00270472">
              <w:rPr>
                <w:color w:val="000000"/>
                <w:sz w:val="24"/>
                <w:szCs w:val="24"/>
              </w:rPr>
              <w:t xml:space="preserve"> </w:t>
            </w:r>
            <w:r w:rsidRPr="00BD500A">
              <w:rPr>
                <w:bCs w:val="0"/>
                <w:iCs w:val="0"/>
                <w:color w:val="auto"/>
                <w:sz w:val="24"/>
                <w:szCs w:val="24"/>
              </w:rPr>
              <w:t>by</w:t>
            </w:r>
            <w:r w:rsidRPr="00BD500A">
              <w:rPr>
                <w:rFonts w:ascii="Calibri" w:hAnsi="Calibri" w:cs="Verdana"/>
                <w:color w:val="000000"/>
                <w:sz w:val="22"/>
                <w:szCs w:val="22"/>
              </w:rPr>
              <w:t xml:space="preserve"> </w:t>
            </w:r>
            <w:r w:rsidR="005B33F9" w:rsidRPr="005B33F9">
              <w:rPr>
                <w:rFonts w:cs="Times New Roman"/>
                <w:b/>
                <w:bCs w:val="0"/>
                <w:iCs w:val="0"/>
                <w:color w:val="auto"/>
                <w:sz w:val="24"/>
                <w:szCs w:val="16"/>
                <w:highlight w:val="yellow"/>
              </w:rPr>
              <w:t>XX XXX XX</w:t>
            </w:r>
            <w:r w:rsidR="006248E3" w:rsidRPr="00BD500A">
              <w:rPr>
                <w:rFonts w:cs="Times New Roman"/>
                <w:b/>
                <w:bCs w:val="0"/>
                <w:iCs w:val="0"/>
                <w:color w:val="auto"/>
                <w:sz w:val="24"/>
                <w:szCs w:val="16"/>
              </w:rPr>
              <w:t>.</w:t>
            </w:r>
          </w:p>
          <w:p w14:paraId="0D3DD811" w14:textId="77777777" w:rsidR="00C35A97" w:rsidRPr="00C35A97" w:rsidRDefault="001C460B" w:rsidP="00C35A97">
            <w:pPr>
              <w:spacing w:line="240" w:lineRule="auto"/>
              <w:rPr>
                <w:sz w:val="24"/>
              </w:rPr>
            </w:pPr>
            <w:r>
              <w:rPr>
                <w:sz w:val="24"/>
              </w:rPr>
              <w:t xml:space="preserve">DCP </w:t>
            </w:r>
            <w:r w:rsidR="00D3651A">
              <w:rPr>
                <w:sz w:val="24"/>
              </w:rPr>
              <w:t>306</w:t>
            </w:r>
            <w:r w:rsidR="00E25A24">
              <w:rPr>
                <w:sz w:val="24"/>
              </w:rPr>
              <w:t xml:space="preserve"> has been designated as a Part 1</w:t>
            </w:r>
            <w:r w:rsidR="00C35A97" w:rsidRPr="00C35A97">
              <w:rPr>
                <w:sz w:val="24"/>
              </w:rPr>
              <w:t xml:space="preserve"> Matter</w:t>
            </w:r>
            <w:r w:rsidR="00E25A24">
              <w:rPr>
                <w:sz w:val="24"/>
              </w:rPr>
              <w:t xml:space="preserve"> and a</w:t>
            </w:r>
            <w:r>
              <w:rPr>
                <w:sz w:val="24"/>
              </w:rPr>
              <w:t xml:space="preserve"> standard</w:t>
            </w:r>
            <w:r w:rsidR="00E25A24">
              <w:rPr>
                <w:sz w:val="24"/>
              </w:rPr>
              <w:t xml:space="preserve"> change</w:t>
            </w:r>
            <w:r w:rsidR="00C35A97" w:rsidRPr="00C35A97">
              <w:rPr>
                <w:sz w:val="24"/>
              </w:rPr>
              <w:t>.</w:t>
            </w:r>
          </w:p>
          <w:p w14:paraId="1896C331" w14:textId="77777777" w:rsidR="006F19E3" w:rsidRPr="00EB32BB" w:rsidRDefault="00BB3DE9" w:rsidP="00C35A97">
            <w:pPr>
              <w:pStyle w:val="BodyText3"/>
              <w:spacing w:line="240" w:lineRule="auto"/>
              <w:ind w:right="113"/>
              <w:rPr>
                <w:rFonts w:cs="Arial"/>
              </w:rPr>
            </w:pPr>
            <w:r w:rsidRPr="005B0B30">
              <w:rPr>
                <w:rFonts w:cs="Arial"/>
              </w:rPr>
              <w:t xml:space="preserve">The </w:t>
            </w:r>
            <w:r w:rsidR="003328B8">
              <w:rPr>
                <w:rFonts w:cs="Arial"/>
              </w:rPr>
              <w:t xml:space="preserve">Working Group </w:t>
            </w:r>
            <w:r w:rsidRPr="005B0B30">
              <w:rPr>
                <w:rFonts w:cs="Arial"/>
              </w:rPr>
              <w:t xml:space="preserve">will consider </w:t>
            </w:r>
            <w:r w:rsidR="003328B8">
              <w:rPr>
                <w:rFonts w:cs="Arial"/>
              </w:rPr>
              <w:t xml:space="preserve">the consultation responses </w:t>
            </w:r>
            <w:r w:rsidR="006F19E3">
              <w:rPr>
                <w:rFonts w:cs="Arial"/>
              </w:rPr>
              <w:t xml:space="preserve">and determine the appropriate </w:t>
            </w:r>
            <w:r w:rsidR="00D36FC3">
              <w:rPr>
                <w:rFonts w:cs="Arial"/>
              </w:rPr>
              <w:t>next steps</w:t>
            </w:r>
            <w:r w:rsidR="003328B8">
              <w:rPr>
                <w:rFonts w:cs="Arial"/>
              </w:rPr>
              <w:t xml:space="preserve"> for the </w:t>
            </w:r>
            <w:r w:rsidR="00F770DC">
              <w:rPr>
                <w:rFonts w:cs="Arial"/>
              </w:rPr>
              <w:t>progression</w:t>
            </w:r>
            <w:r w:rsidR="00E20E29">
              <w:rPr>
                <w:rFonts w:cs="Arial"/>
              </w:rPr>
              <w:t xml:space="preserve"> of the Change Proposal (CP)</w:t>
            </w:r>
            <w:r w:rsidR="006F19E3">
              <w:rPr>
                <w:rFonts w:cs="Arial"/>
              </w:rPr>
              <w:t>.</w:t>
            </w:r>
          </w:p>
        </w:tc>
      </w:tr>
      <w:tr w:rsidR="006F19E3" w:rsidRPr="00EB32BB" w14:paraId="4468DDBC" w14:textId="77777777" w:rsidTr="006F19E3">
        <w:trPr>
          <w:trHeight w:val="739"/>
        </w:trPr>
        <w:tc>
          <w:tcPr>
            <w:tcW w:w="913" w:type="dxa"/>
            <w:tcBorders>
              <w:top w:val="single" w:sz="4" w:space="0" w:color="4A8958"/>
              <w:left w:val="single" w:sz="4" w:space="0" w:color="4A8958"/>
              <w:bottom w:val="single" w:sz="4" w:space="0" w:color="4A8958"/>
              <w:right w:val="single" w:sz="4" w:space="0" w:color="4A8958"/>
            </w:tcBorders>
            <w:shd w:val="clear" w:color="auto" w:fill="auto"/>
            <w:vAlign w:val="center"/>
          </w:tcPr>
          <w:p w14:paraId="08B5BD29" w14:textId="77777777" w:rsidR="006F19E3" w:rsidRPr="00EB32BB" w:rsidRDefault="00EB5FE7" w:rsidP="006F19E3">
            <w:pPr>
              <w:spacing w:before="60" w:after="60"/>
              <w:ind w:firstLine="9"/>
              <w:jc w:val="center"/>
              <w:rPr>
                <w:rFonts w:cs="Arial"/>
              </w:rPr>
            </w:pPr>
            <w:r>
              <w:rPr>
                <w:rFonts w:cs="Arial"/>
                <w:noProof/>
              </w:rPr>
              <w:drawing>
                <wp:inline distT="0" distB="0" distL="0" distR="0" wp14:anchorId="37B84D6E" wp14:editId="347F45E2">
                  <wp:extent cx="466725" cy="466725"/>
                  <wp:effectExtent l="0" t="0" r="9525" b="9525"/>
                  <wp:docPr id="3" name="Picture 3"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High_Impact"/>
                          <pic:cNvPicPr>
                            <a:picLocks noChangeAspect="1" noChangeArrowheads="1"/>
                          </pic:cNvPicPr>
                        </pic:nvPicPr>
                        <pic:blipFill>
                          <a:blip r:embed="rId15">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6725" cy="466725"/>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shd w:val="clear" w:color="auto" w:fill="auto"/>
          </w:tcPr>
          <w:p w14:paraId="3F26892A" w14:textId="77777777" w:rsidR="006F19E3" w:rsidRPr="00EB32BB" w:rsidRDefault="00370895" w:rsidP="005F75C4">
            <w:pPr>
              <w:ind w:left="113" w:right="113"/>
              <w:rPr>
                <w:rFonts w:cs="Arial"/>
              </w:rPr>
            </w:pPr>
            <w:r>
              <w:rPr>
                <w:sz w:val="24"/>
              </w:rPr>
              <w:t>Impacted Parties</w:t>
            </w:r>
            <w:r w:rsidR="00231812">
              <w:rPr>
                <w:sz w:val="24"/>
              </w:rPr>
              <w:t xml:space="preserve">: </w:t>
            </w:r>
            <w:r w:rsidR="00710290">
              <w:rPr>
                <w:sz w:val="24"/>
              </w:rPr>
              <w:t>DNOs/IDNOs</w:t>
            </w:r>
            <w:r w:rsidR="00295499">
              <w:rPr>
                <w:sz w:val="24"/>
              </w:rPr>
              <w:t xml:space="preserve"> </w:t>
            </w:r>
          </w:p>
        </w:tc>
      </w:tr>
      <w:tr w:rsidR="005D1C6B" w:rsidRPr="00EB32BB" w14:paraId="2188A4A2" w14:textId="77777777" w:rsidTr="006F19E3">
        <w:trPr>
          <w:trHeight w:val="739"/>
        </w:trPr>
        <w:tc>
          <w:tcPr>
            <w:tcW w:w="913" w:type="dxa"/>
            <w:tcBorders>
              <w:top w:val="single" w:sz="4" w:space="0" w:color="4A8958"/>
              <w:left w:val="single" w:sz="4" w:space="0" w:color="4A8958"/>
              <w:bottom w:val="single" w:sz="4" w:space="0" w:color="4A8958"/>
              <w:right w:val="single" w:sz="4" w:space="0" w:color="4A8958"/>
            </w:tcBorders>
            <w:shd w:val="clear" w:color="auto" w:fill="auto"/>
            <w:vAlign w:val="center"/>
          </w:tcPr>
          <w:p w14:paraId="060F4819" w14:textId="77777777" w:rsidR="005D1C6B" w:rsidRPr="00EB32BB" w:rsidRDefault="00EB5FE7" w:rsidP="005D1C6B">
            <w:pPr>
              <w:spacing w:before="60" w:after="60"/>
              <w:ind w:firstLine="9"/>
              <w:jc w:val="center"/>
              <w:rPr>
                <w:rFonts w:cs="Arial"/>
              </w:rPr>
            </w:pPr>
            <w:r>
              <w:rPr>
                <w:rFonts w:cs="Arial"/>
                <w:noProof/>
              </w:rPr>
              <w:drawing>
                <wp:inline distT="0" distB="0" distL="0" distR="0" wp14:anchorId="11A8CF8A" wp14:editId="142E8BD8">
                  <wp:extent cx="466725" cy="466725"/>
                  <wp:effectExtent l="0" t="0" r="9525" b="9525"/>
                  <wp:docPr id="4" name="Picture 4"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escription: High_Impact"/>
                          <pic:cNvPicPr>
                            <a:picLocks noChangeAspect="1" noChangeArrowheads="1"/>
                          </pic:cNvPicPr>
                        </pic:nvPicPr>
                        <pic:blipFill>
                          <a:blip r:embed="rId15">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6725" cy="466725"/>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shd w:val="clear" w:color="auto" w:fill="auto"/>
          </w:tcPr>
          <w:p w14:paraId="134D8F8C" w14:textId="2B64E1E4" w:rsidR="005D1C6B" w:rsidRPr="00EB32BB" w:rsidRDefault="005D1C6B" w:rsidP="005D1C6B">
            <w:pPr>
              <w:ind w:left="113" w:right="113"/>
              <w:rPr>
                <w:rFonts w:cs="Arial"/>
              </w:rPr>
            </w:pPr>
            <w:r>
              <w:rPr>
                <w:sz w:val="24"/>
              </w:rPr>
              <w:t>Impacted Clauses:</w:t>
            </w:r>
            <w:r w:rsidR="001C460B">
              <w:rPr>
                <w:sz w:val="24"/>
              </w:rPr>
              <w:t xml:space="preserve">  </w:t>
            </w:r>
            <w:r w:rsidR="00B74667">
              <w:rPr>
                <w:sz w:val="24"/>
              </w:rPr>
              <w:t>Schedule XX</w:t>
            </w:r>
            <w:r w:rsidR="006E1566">
              <w:rPr>
                <w:rStyle w:val="FootnoteReference"/>
                <w:sz w:val="24"/>
              </w:rPr>
              <w:footnoteReference w:id="1"/>
            </w:r>
            <w:r w:rsidR="00710290">
              <w:rPr>
                <w:sz w:val="24"/>
              </w:rPr>
              <w:t xml:space="preserve">, Clause </w:t>
            </w:r>
            <w:r w:rsidR="00B74667">
              <w:rPr>
                <w:sz w:val="24"/>
              </w:rPr>
              <w:t>6 table and a new clause</w:t>
            </w:r>
            <w:r w:rsidR="00E579F6">
              <w:rPr>
                <w:sz w:val="24"/>
              </w:rPr>
              <w:t xml:space="preserve"> 11B</w:t>
            </w:r>
          </w:p>
        </w:tc>
      </w:tr>
    </w:tbl>
    <w:p w14:paraId="1220AC3A" w14:textId="77777777" w:rsidR="00231812" w:rsidRDefault="00231812" w:rsidP="005B378E">
      <w:pPr>
        <w:rPr>
          <w:rFonts w:cs="Arial"/>
        </w:rPr>
      </w:pPr>
    </w:p>
    <w:p w14:paraId="0A7BEA97" w14:textId="77777777" w:rsidR="00231812" w:rsidRDefault="00231812" w:rsidP="005B378E">
      <w:pPr>
        <w:rPr>
          <w:rFonts w:cs="Arial"/>
        </w:rPr>
      </w:pPr>
    </w:p>
    <w:p w14:paraId="4EE35B33" w14:textId="77777777" w:rsidR="00231812" w:rsidRDefault="00231812" w:rsidP="005B378E">
      <w:pPr>
        <w:rPr>
          <w:rFonts w:cs="Arial"/>
        </w:rPr>
      </w:pPr>
    </w:p>
    <w:p w14:paraId="032EA426" w14:textId="77777777" w:rsidR="005079E0" w:rsidRPr="00EB32BB" w:rsidRDefault="00546EF7" w:rsidP="005B378E">
      <w:pPr>
        <w:rPr>
          <w:rFonts w:cs="Arial"/>
        </w:rPr>
      </w:pPr>
      <w:r>
        <w:rPr>
          <w:noProof/>
        </w:rPr>
        <mc:AlternateContent>
          <mc:Choice Requires="wps">
            <w:drawing>
              <wp:anchor distT="0" distB="0" distL="114300" distR="114300" simplePos="0" relativeHeight="251657216" behindDoc="0" locked="0" layoutInCell="1" allowOverlap="1" wp14:anchorId="58B7A579" wp14:editId="18540227">
                <wp:simplePos x="0" y="0"/>
                <wp:positionH relativeFrom="column">
                  <wp:posOffset>-325755</wp:posOffset>
                </wp:positionH>
                <wp:positionV relativeFrom="paragraph">
                  <wp:posOffset>7402195</wp:posOffset>
                </wp:positionV>
                <wp:extent cx="6629400" cy="1120775"/>
                <wp:effectExtent l="0" t="0" r="0" b="0"/>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29400" cy="1120775"/>
                        </a:xfrm>
                        <a:prstGeom prst="rect">
                          <a:avLst/>
                        </a:prstGeom>
                        <a:noFill/>
                        <a:ln>
                          <a:noFill/>
                        </a:ln>
                        <a:effectLst/>
                        <a:extLst>
                          <a:ext uri="{C572A759-6A51-4108-AA02-DFA0A04FC94B}"/>
                        </a:extLst>
                      </wps:spPr>
                      <wps:txbx>
                        <w:txbxContent>
                          <w:p w14:paraId="41C8AF2F" w14:textId="77777777" w:rsidR="002B6F90" w:rsidRPr="009A03A4" w:rsidRDefault="002B6F90" w:rsidP="00187E2F">
                            <w:pPr>
                              <w:pStyle w:val="BodyText"/>
                              <w:spacing w:after="60" w:line="240" w:lineRule="auto"/>
                              <w:ind w:left="-57" w:right="-57"/>
                              <w:rPr>
                                <w:rFonts w:cs="Arial"/>
                                <w:i/>
                                <w:color w:val="00B274"/>
                              </w:rPr>
                            </w:pPr>
                            <w:r w:rsidRPr="009A03A4">
                              <w:rPr>
                                <w:rFonts w:cs="Arial"/>
                                <w:b/>
                                <w:i/>
                                <w:color w:val="00B274"/>
                              </w:rPr>
                              <w:t xml:space="preserve">Guidance </w:t>
                            </w:r>
                            <w:proofErr w:type="gramStart"/>
                            <w:r w:rsidRPr="009A03A4">
                              <w:rPr>
                                <w:rFonts w:cs="Arial"/>
                                <w:b/>
                                <w:i/>
                                <w:color w:val="00B274"/>
                              </w:rPr>
                              <w:t>On</w:t>
                            </w:r>
                            <w:proofErr w:type="gramEnd"/>
                            <w:r w:rsidRPr="009A03A4">
                              <w:rPr>
                                <w:rFonts w:cs="Arial"/>
                                <w:b/>
                                <w:i/>
                                <w:color w:val="00B274"/>
                              </w:rPr>
                              <w:t xml:space="preserve"> The Use Of This Template</w:t>
                            </w:r>
                            <w:r w:rsidRPr="009A03A4">
                              <w:rPr>
                                <w:rFonts w:cs="Arial"/>
                                <w:i/>
                                <w:color w:val="00B274"/>
                              </w:rPr>
                              <w:t xml:space="preserve">: </w:t>
                            </w:r>
                          </w:p>
                          <w:p w14:paraId="4AF57FB5" w14:textId="77777777" w:rsidR="002B6F90" w:rsidRDefault="002B6F90" w:rsidP="006F19E3">
                            <w:pPr>
                              <w:pStyle w:val="BodyText"/>
                              <w:tabs>
                                <w:tab w:val="left" w:pos="9639"/>
                              </w:tabs>
                              <w:spacing w:after="60" w:line="240" w:lineRule="auto"/>
                              <w:ind w:left="-57" w:right="-54"/>
                              <w:rPr>
                                <w:rFonts w:cs="Arial"/>
                                <w:i/>
                                <w:color w:val="00B274"/>
                              </w:rPr>
                            </w:pPr>
                            <w:r>
                              <w:rPr>
                                <w:rFonts w:cs="Arial"/>
                                <w:i/>
                                <w:color w:val="00B274"/>
                              </w:rPr>
                              <w:t>Code Administrators will produce this Report using the original proposal as the source.</w:t>
                            </w:r>
                          </w:p>
                          <w:p w14:paraId="4731103B" w14:textId="77777777" w:rsidR="002B6F90" w:rsidRDefault="002B6F90" w:rsidP="006F19E3">
                            <w:pPr>
                              <w:pStyle w:val="BodyText"/>
                              <w:tabs>
                                <w:tab w:val="left" w:pos="9639"/>
                              </w:tabs>
                              <w:spacing w:after="60" w:line="240" w:lineRule="auto"/>
                              <w:ind w:left="-57" w:right="-54"/>
                              <w:rPr>
                                <w:rFonts w:cs="Arial"/>
                                <w:i/>
                                <w:color w:val="00B274"/>
                              </w:rPr>
                            </w:pPr>
                          </w:p>
                          <w:p w14:paraId="40487A3B" w14:textId="77777777" w:rsidR="002B6F90" w:rsidRPr="009A03A4" w:rsidRDefault="002B6F90" w:rsidP="006F19E3">
                            <w:pPr>
                              <w:pStyle w:val="BodyText"/>
                              <w:tabs>
                                <w:tab w:val="left" w:pos="9639"/>
                              </w:tabs>
                              <w:spacing w:after="60" w:line="240" w:lineRule="auto"/>
                              <w:ind w:left="-57" w:right="-54"/>
                              <w:rPr>
                                <w:rFonts w:cs="Arial"/>
                                <w:i/>
                                <w:color w:val="00B274"/>
                              </w:rPr>
                            </w:pPr>
                            <w:r>
                              <w:rPr>
                                <w:rFonts w:cs="Arial"/>
                                <w:i/>
                                <w:color w:val="00B274"/>
                              </w:rPr>
                              <w:t xml:space="preserve">The Workgroup will verify </w:t>
                            </w:r>
                            <w:proofErr w:type="gramStart"/>
                            <w:r>
                              <w:rPr>
                                <w:rFonts w:cs="Arial"/>
                                <w:i/>
                                <w:color w:val="00B274"/>
                              </w:rPr>
                              <w:t>all of</w:t>
                            </w:r>
                            <w:proofErr w:type="gramEnd"/>
                            <w:r>
                              <w:rPr>
                                <w:rFonts w:cs="Arial"/>
                                <w:i/>
                                <w:color w:val="00B274"/>
                              </w:rPr>
                              <w:t xml:space="preserve"> the information provided, adding the Impact Assessment.</w:t>
                            </w:r>
                          </w:p>
                          <w:p w14:paraId="3785F842" w14:textId="77777777" w:rsidR="002B6F90" w:rsidRPr="00623022" w:rsidRDefault="002B6F90" w:rsidP="006F19E3">
                            <w:pPr>
                              <w:pStyle w:val="BodyText"/>
                              <w:spacing w:before="60" w:after="60" w:line="240" w:lineRule="auto"/>
                              <w:ind w:left="-57" w:right="-57"/>
                              <w:rPr>
                                <w:rFonts w:cs="Arial"/>
                                <w:i/>
                                <w:color w:val="00B274"/>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xmlns:w16cid="http://schemas.microsoft.com/office/word/2016/wordml/cid">
            <w:pict>
              <v:shapetype w14:anchorId="58B7A579" id="_x0000_t202" coordsize="21600,21600" o:spt="202" path="m,l,21600r21600,l21600,xe">
                <v:stroke joinstyle="miter"/>
                <v:path gradientshapeok="t" o:connecttype="rect"/>
              </v:shapetype>
              <v:shape id="Text Box 11" o:spid="_x0000_s1026" type="#_x0000_t202" style="position:absolute;margin-left:-25.65pt;margin-top:582.85pt;width:522pt;height:88.2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" filled="f" stroked="f">
                <v:textbox>
                  <w:txbxContent>
                    <w:p w14:paraId="41C8AF2F" w14:textId="77777777" w:rsidR="002B6F90" w:rsidRPr="009A03A4" w:rsidRDefault="002B6F90" w:rsidP="00187E2F">
                      <w:pPr>
                        <w:pStyle w:val="BodyText"/>
                        <w:spacing w:after="60" w:line="240" w:lineRule="auto"/>
                        <w:ind w:left="-57" w:right="-57"/>
                        <w:rPr>
                          <w:rFonts w:cs="Arial"/>
                          <w:i/>
                          <w:color w:val="00B274"/>
                        </w:rPr>
                      </w:pPr>
                      <w:r w:rsidRPr="009A03A4">
                        <w:rPr>
                          <w:rFonts w:cs="Arial"/>
                          <w:b/>
                          <w:i/>
                          <w:color w:val="00B274"/>
                        </w:rPr>
                        <w:t>Guidance On The Use Of This Template</w:t>
                      </w:r>
                      <w:r w:rsidRPr="009A03A4">
                        <w:rPr>
                          <w:rFonts w:cs="Arial"/>
                          <w:i/>
                          <w:color w:val="00B274"/>
                        </w:rPr>
                        <w:t xml:space="preserve">: </w:t>
                      </w:r>
                    </w:p>
                    <w:p w14:paraId="4AF57FB5" w14:textId="77777777" w:rsidR="002B6F90" w:rsidRDefault="002B6F90" w:rsidP="006F19E3">
                      <w:pPr>
                        <w:pStyle w:val="BodyText"/>
                        <w:tabs>
                          <w:tab w:val="left" w:pos="9639"/>
                        </w:tabs>
                        <w:spacing w:after="60" w:line="240" w:lineRule="auto"/>
                        <w:ind w:left="-57" w:right="-54"/>
                        <w:rPr>
                          <w:rFonts w:cs="Arial"/>
                          <w:i/>
                          <w:color w:val="00B274"/>
                        </w:rPr>
                      </w:pPr>
                      <w:r>
                        <w:rPr>
                          <w:rFonts w:cs="Arial"/>
                          <w:i/>
                          <w:color w:val="00B274"/>
                        </w:rPr>
                        <w:t>Code Administrators will produce this Report using the original proposal as the source.</w:t>
                      </w:r>
                    </w:p>
                    <w:p w14:paraId="4731103B" w14:textId="77777777" w:rsidR="002B6F90" w:rsidRDefault="002B6F90" w:rsidP="006F19E3">
                      <w:pPr>
                        <w:pStyle w:val="BodyText"/>
                        <w:tabs>
                          <w:tab w:val="left" w:pos="9639"/>
                        </w:tabs>
                        <w:spacing w:after="60" w:line="240" w:lineRule="auto"/>
                        <w:ind w:left="-57" w:right="-54"/>
                        <w:rPr>
                          <w:rFonts w:cs="Arial"/>
                          <w:i/>
                          <w:color w:val="00B274"/>
                        </w:rPr>
                      </w:pPr>
                    </w:p>
                    <w:p w14:paraId="40487A3B" w14:textId="77777777" w:rsidR="002B6F90" w:rsidRPr="009A03A4" w:rsidRDefault="002B6F90" w:rsidP="006F19E3">
                      <w:pPr>
                        <w:pStyle w:val="BodyText"/>
                        <w:tabs>
                          <w:tab w:val="left" w:pos="9639"/>
                        </w:tabs>
                        <w:spacing w:after="60" w:line="240" w:lineRule="auto"/>
                        <w:ind w:left="-57" w:right="-54"/>
                        <w:rPr>
                          <w:rFonts w:cs="Arial"/>
                          <w:i/>
                          <w:color w:val="00B274"/>
                        </w:rPr>
                      </w:pPr>
                      <w:r>
                        <w:rPr>
                          <w:rFonts w:cs="Arial"/>
                          <w:i/>
                          <w:color w:val="00B274"/>
                        </w:rPr>
                        <w:t>The Workgroup will verify all of the information provided, adding the Impact Assessment.</w:t>
                      </w:r>
                    </w:p>
                    <w:p w14:paraId="3785F842" w14:textId="77777777" w:rsidR="002B6F90" w:rsidRPr="00623022" w:rsidRDefault="002B6F90" w:rsidP="006F19E3">
                      <w:pPr>
                        <w:pStyle w:val="BodyText"/>
                        <w:spacing w:before="60" w:after="60" w:line="240" w:lineRule="auto"/>
                        <w:ind w:left="-57" w:right="-57"/>
                        <w:rPr>
                          <w:rFonts w:cs="Arial"/>
                          <w:i/>
                          <w:color w:val="00B274"/>
                        </w:rPr>
                      </w:pPr>
                    </w:p>
                  </w:txbxContent>
                </v:textbox>
              </v:shape>
            </w:pict>
          </mc:Fallback>
        </mc:AlternateContent>
      </w:r>
    </w:p>
    <w:tbl>
      <w:tblPr>
        <w:tblW w:w="10207" w:type="dxa"/>
        <w:tblInd w:w="-176" w:type="dxa"/>
        <w:tblLayout w:type="fixed"/>
        <w:tblLook w:val="04A0" w:firstRow="1" w:lastRow="0" w:firstColumn="1" w:lastColumn="0" w:noHBand="0" w:noVBand="1"/>
      </w:tblPr>
      <w:tblGrid>
        <w:gridCol w:w="7939"/>
        <w:gridCol w:w="2268"/>
      </w:tblGrid>
      <w:tr w:rsidR="00F10E14" w:rsidRPr="00EB32BB" w14:paraId="5F840069" w14:textId="77777777" w:rsidTr="004D430C">
        <w:trPr>
          <w:trHeight w:val="617"/>
        </w:trPr>
        <w:tc>
          <w:tcPr>
            <w:tcW w:w="7939" w:type="dxa"/>
            <w:vMerge w:val="restart"/>
            <w:tcBorders>
              <w:top w:val="single" w:sz="4" w:space="0" w:color="4A8958"/>
              <w:left w:val="single" w:sz="4" w:space="0" w:color="4A8958"/>
              <w:bottom w:val="single" w:sz="4" w:space="0" w:color="4A8958"/>
              <w:right w:val="single" w:sz="4" w:space="0" w:color="4A8958"/>
            </w:tcBorders>
            <w:shd w:val="clear" w:color="auto" w:fill="auto"/>
          </w:tcPr>
          <w:p w14:paraId="2F5BF982" w14:textId="77777777" w:rsidR="00F10E14" w:rsidRPr="00EB32BB" w:rsidRDefault="00F10E14" w:rsidP="00AF7744">
            <w:pPr>
              <w:pStyle w:val="Contents02"/>
              <w:rPr>
                <w:noProof/>
              </w:rPr>
            </w:pPr>
            <w:r w:rsidRPr="00EB32BB">
              <w:rPr>
                <w:noProof/>
              </w:rPr>
              <w:lastRenderedPageBreak/>
              <w:t>Contents</w:t>
            </w:r>
          </w:p>
          <w:p w14:paraId="4B6FFE20" w14:textId="0175B9A3" w:rsidR="00A81649" w:rsidRDefault="00985B9D" w:rsidP="00A81649">
            <w:pPr>
              <w:pStyle w:val="TOC1"/>
              <w:framePr w:wrap="around"/>
              <w:rPr>
                <w:rFonts w:asciiTheme="minorHAnsi" w:eastAsiaTheme="minorEastAsia" w:hAnsiTheme="minorHAnsi" w:cstheme="minorBidi"/>
                <w:b w:val="0"/>
                <w:bCs w:val="0"/>
                <w:color w:val="auto"/>
                <w:sz w:val="22"/>
                <w:szCs w:val="22"/>
              </w:rPr>
            </w:pPr>
            <w:r w:rsidRPr="00EB32BB">
              <w:fldChar w:fldCharType="begin"/>
            </w:r>
            <w:r w:rsidR="00F10E14" w:rsidRPr="00EB32BB">
              <w:instrText xml:space="preserve"> TOC \o "1-1" </w:instrText>
            </w:r>
            <w:r w:rsidRPr="00EB32BB">
              <w:fldChar w:fldCharType="separate"/>
            </w:r>
            <w:r w:rsidR="00A81649">
              <w:t>1.</w:t>
            </w:r>
            <w:r w:rsidR="00A81649">
              <w:rPr>
                <w:rFonts w:asciiTheme="minorHAnsi" w:eastAsiaTheme="minorEastAsia" w:hAnsiTheme="minorHAnsi" w:cstheme="minorBidi"/>
                <w:b w:val="0"/>
                <w:bCs w:val="0"/>
                <w:color w:val="auto"/>
                <w:sz w:val="22"/>
                <w:szCs w:val="22"/>
              </w:rPr>
              <w:tab/>
            </w:r>
            <w:r w:rsidR="00A81649">
              <w:t>Summary</w:t>
            </w:r>
            <w:r w:rsidR="00A81649">
              <w:tab/>
            </w:r>
            <w:r w:rsidR="00A81649">
              <w:fldChar w:fldCharType="begin"/>
            </w:r>
            <w:r w:rsidR="00A81649">
              <w:instrText xml:space="preserve"> PAGEREF _Toc492567083 \h </w:instrText>
            </w:r>
            <w:r w:rsidR="00A81649">
              <w:fldChar w:fldCharType="separate"/>
            </w:r>
            <w:r w:rsidR="002B1D49">
              <w:t>3</w:t>
            </w:r>
            <w:r w:rsidR="00A81649">
              <w:fldChar w:fldCharType="end"/>
            </w:r>
          </w:p>
          <w:p w14:paraId="2274DEBA" w14:textId="0E9CBD9B" w:rsidR="00A81649" w:rsidRDefault="00A81649" w:rsidP="00A81649">
            <w:pPr>
              <w:pStyle w:val="TOC1"/>
              <w:framePr w:wrap="around"/>
              <w:rPr>
                <w:rFonts w:asciiTheme="minorHAnsi" w:eastAsiaTheme="minorEastAsia" w:hAnsiTheme="minorHAnsi" w:cstheme="minorBidi"/>
                <w:b w:val="0"/>
                <w:bCs w:val="0"/>
                <w:color w:val="auto"/>
                <w:sz w:val="22"/>
                <w:szCs w:val="22"/>
              </w:rPr>
            </w:pPr>
            <w:r>
              <w:t>2</w:t>
            </w:r>
            <w:r>
              <w:rPr>
                <w:rFonts w:asciiTheme="minorHAnsi" w:eastAsiaTheme="minorEastAsia" w:hAnsiTheme="minorHAnsi" w:cstheme="minorBidi"/>
                <w:b w:val="0"/>
                <w:bCs w:val="0"/>
                <w:color w:val="auto"/>
                <w:sz w:val="22"/>
                <w:szCs w:val="22"/>
              </w:rPr>
              <w:tab/>
            </w:r>
            <w:r>
              <w:t>Governance</w:t>
            </w:r>
            <w:r>
              <w:tab/>
            </w:r>
            <w:r>
              <w:fldChar w:fldCharType="begin"/>
            </w:r>
            <w:r>
              <w:instrText xml:space="preserve"> PAGEREF _Toc492567084 \h </w:instrText>
            </w:r>
            <w:r>
              <w:fldChar w:fldCharType="separate"/>
            </w:r>
            <w:r w:rsidR="002B1D49">
              <w:t>4</w:t>
            </w:r>
            <w:r>
              <w:fldChar w:fldCharType="end"/>
            </w:r>
          </w:p>
          <w:p w14:paraId="78915BE2" w14:textId="7F8C73DC" w:rsidR="00A81649" w:rsidRDefault="00A81649" w:rsidP="00A81649">
            <w:pPr>
              <w:pStyle w:val="TOC1"/>
              <w:framePr w:wrap="around"/>
              <w:rPr>
                <w:rFonts w:asciiTheme="minorHAnsi" w:eastAsiaTheme="minorEastAsia" w:hAnsiTheme="minorHAnsi" w:cstheme="minorBidi"/>
                <w:b w:val="0"/>
                <w:bCs w:val="0"/>
                <w:color w:val="auto"/>
                <w:sz w:val="22"/>
                <w:szCs w:val="22"/>
              </w:rPr>
            </w:pPr>
            <w:r>
              <w:t>3</w:t>
            </w:r>
            <w:r>
              <w:rPr>
                <w:rFonts w:asciiTheme="minorHAnsi" w:eastAsiaTheme="minorEastAsia" w:hAnsiTheme="minorHAnsi" w:cstheme="minorBidi"/>
                <w:b w:val="0"/>
                <w:bCs w:val="0"/>
                <w:color w:val="auto"/>
                <w:sz w:val="22"/>
                <w:szCs w:val="22"/>
              </w:rPr>
              <w:tab/>
            </w:r>
            <w:r>
              <w:t>Why Change?</w:t>
            </w:r>
            <w:r>
              <w:tab/>
            </w:r>
            <w:r>
              <w:fldChar w:fldCharType="begin"/>
            </w:r>
            <w:r>
              <w:instrText xml:space="preserve"> PAGEREF _Toc492567085 \h </w:instrText>
            </w:r>
            <w:r>
              <w:fldChar w:fldCharType="separate"/>
            </w:r>
            <w:r w:rsidR="002B1D49">
              <w:t>4</w:t>
            </w:r>
            <w:r>
              <w:fldChar w:fldCharType="end"/>
            </w:r>
          </w:p>
          <w:p w14:paraId="7B7EF6E4" w14:textId="7265AD7D" w:rsidR="00A81649" w:rsidRDefault="00A81649" w:rsidP="00A81649">
            <w:pPr>
              <w:pStyle w:val="TOC1"/>
              <w:framePr w:wrap="around"/>
              <w:rPr>
                <w:rFonts w:asciiTheme="minorHAnsi" w:eastAsiaTheme="minorEastAsia" w:hAnsiTheme="minorHAnsi" w:cstheme="minorBidi"/>
                <w:b w:val="0"/>
                <w:bCs w:val="0"/>
                <w:color w:val="auto"/>
                <w:sz w:val="22"/>
                <w:szCs w:val="22"/>
              </w:rPr>
            </w:pPr>
            <w:r>
              <w:t>4</w:t>
            </w:r>
            <w:r>
              <w:rPr>
                <w:rFonts w:asciiTheme="minorHAnsi" w:eastAsiaTheme="minorEastAsia" w:hAnsiTheme="minorHAnsi" w:cstheme="minorBidi"/>
                <w:b w:val="0"/>
                <w:bCs w:val="0"/>
                <w:color w:val="auto"/>
                <w:sz w:val="22"/>
                <w:szCs w:val="22"/>
              </w:rPr>
              <w:tab/>
            </w:r>
            <w:r>
              <w:t>Code Specific Matters</w:t>
            </w:r>
            <w:r>
              <w:tab/>
            </w:r>
            <w:r>
              <w:fldChar w:fldCharType="begin"/>
            </w:r>
            <w:r>
              <w:instrText xml:space="preserve"> PAGEREF _Toc492567086 \h </w:instrText>
            </w:r>
            <w:r>
              <w:fldChar w:fldCharType="separate"/>
            </w:r>
            <w:r w:rsidR="002B1D49">
              <w:t>5</w:t>
            </w:r>
            <w:r>
              <w:fldChar w:fldCharType="end"/>
            </w:r>
          </w:p>
          <w:p w14:paraId="50D28A87" w14:textId="1E071EB9" w:rsidR="00A81649" w:rsidRDefault="00A81649" w:rsidP="00A81649">
            <w:pPr>
              <w:pStyle w:val="TOC1"/>
              <w:framePr w:wrap="around"/>
              <w:rPr>
                <w:rFonts w:asciiTheme="minorHAnsi" w:eastAsiaTheme="minorEastAsia" w:hAnsiTheme="minorHAnsi" w:cstheme="minorBidi"/>
                <w:b w:val="0"/>
                <w:bCs w:val="0"/>
                <w:color w:val="auto"/>
                <w:sz w:val="22"/>
                <w:szCs w:val="22"/>
              </w:rPr>
            </w:pPr>
            <w:r>
              <w:t>5</w:t>
            </w:r>
            <w:r>
              <w:rPr>
                <w:rFonts w:asciiTheme="minorHAnsi" w:eastAsiaTheme="minorEastAsia" w:hAnsiTheme="minorHAnsi" w:cstheme="minorBidi"/>
                <w:b w:val="0"/>
                <w:bCs w:val="0"/>
                <w:color w:val="auto"/>
                <w:sz w:val="22"/>
                <w:szCs w:val="22"/>
              </w:rPr>
              <w:tab/>
            </w:r>
            <w:r>
              <w:t>Working Group Assessment</w:t>
            </w:r>
            <w:r>
              <w:tab/>
            </w:r>
            <w:r>
              <w:fldChar w:fldCharType="begin"/>
            </w:r>
            <w:r>
              <w:instrText xml:space="preserve"> PAGEREF _Toc492567087 \h </w:instrText>
            </w:r>
            <w:r>
              <w:fldChar w:fldCharType="separate"/>
            </w:r>
            <w:r w:rsidR="002B1D49">
              <w:t>5</w:t>
            </w:r>
            <w:r>
              <w:fldChar w:fldCharType="end"/>
            </w:r>
          </w:p>
          <w:p w14:paraId="38194711" w14:textId="30FC6557" w:rsidR="00A81649" w:rsidRDefault="00A81649" w:rsidP="00A81649">
            <w:pPr>
              <w:pStyle w:val="TOC1"/>
              <w:framePr w:wrap="around"/>
              <w:rPr>
                <w:rFonts w:asciiTheme="minorHAnsi" w:eastAsiaTheme="minorEastAsia" w:hAnsiTheme="minorHAnsi" w:cstheme="minorBidi"/>
                <w:b w:val="0"/>
                <w:bCs w:val="0"/>
                <w:color w:val="auto"/>
                <w:sz w:val="22"/>
                <w:szCs w:val="22"/>
              </w:rPr>
            </w:pPr>
            <w:r>
              <w:t>6</w:t>
            </w:r>
            <w:r>
              <w:rPr>
                <w:rFonts w:asciiTheme="minorHAnsi" w:eastAsiaTheme="minorEastAsia" w:hAnsiTheme="minorHAnsi" w:cstheme="minorBidi"/>
                <w:b w:val="0"/>
                <w:bCs w:val="0"/>
                <w:color w:val="auto"/>
                <w:sz w:val="22"/>
                <w:szCs w:val="22"/>
              </w:rPr>
              <w:tab/>
            </w:r>
            <w:r>
              <w:t>Legal Text</w:t>
            </w:r>
            <w:r>
              <w:tab/>
            </w:r>
            <w:r>
              <w:fldChar w:fldCharType="begin"/>
            </w:r>
            <w:r>
              <w:instrText xml:space="preserve"> PAGEREF _Toc492567088 \h </w:instrText>
            </w:r>
            <w:r>
              <w:fldChar w:fldCharType="separate"/>
            </w:r>
            <w:r w:rsidR="002B1D49">
              <w:t>6</w:t>
            </w:r>
            <w:r>
              <w:fldChar w:fldCharType="end"/>
            </w:r>
          </w:p>
          <w:p w14:paraId="3CC831D7" w14:textId="71A919F5" w:rsidR="00A81649" w:rsidRDefault="00A81649" w:rsidP="00A81649">
            <w:pPr>
              <w:pStyle w:val="TOC1"/>
              <w:framePr w:wrap="around"/>
              <w:rPr>
                <w:rFonts w:asciiTheme="minorHAnsi" w:eastAsiaTheme="minorEastAsia" w:hAnsiTheme="minorHAnsi" w:cstheme="minorBidi"/>
                <w:b w:val="0"/>
                <w:bCs w:val="0"/>
                <w:color w:val="auto"/>
                <w:sz w:val="22"/>
                <w:szCs w:val="22"/>
              </w:rPr>
            </w:pPr>
            <w:r>
              <w:t>7</w:t>
            </w:r>
            <w:r>
              <w:rPr>
                <w:rFonts w:asciiTheme="minorHAnsi" w:eastAsiaTheme="minorEastAsia" w:hAnsiTheme="minorHAnsi" w:cstheme="minorBidi"/>
                <w:b w:val="0"/>
                <w:bCs w:val="0"/>
                <w:color w:val="auto"/>
                <w:sz w:val="22"/>
                <w:szCs w:val="22"/>
              </w:rPr>
              <w:tab/>
            </w:r>
            <w:r>
              <w:t>Relevant Objectives</w:t>
            </w:r>
            <w:r>
              <w:tab/>
            </w:r>
            <w:r>
              <w:fldChar w:fldCharType="begin"/>
            </w:r>
            <w:r>
              <w:instrText xml:space="preserve"> PAGEREF _Toc492567089 \h </w:instrText>
            </w:r>
            <w:r>
              <w:fldChar w:fldCharType="separate"/>
            </w:r>
            <w:r w:rsidR="002B1D49">
              <w:t>6</w:t>
            </w:r>
            <w:r>
              <w:fldChar w:fldCharType="end"/>
            </w:r>
          </w:p>
          <w:p w14:paraId="672CD6B3" w14:textId="15BF2AA9" w:rsidR="00A81649" w:rsidRDefault="00A81649" w:rsidP="00A81649">
            <w:pPr>
              <w:pStyle w:val="TOC1"/>
              <w:framePr w:wrap="around"/>
              <w:rPr>
                <w:rFonts w:asciiTheme="minorHAnsi" w:eastAsiaTheme="minorEastAsia" w:hAnsiTheme="minorHAnsi" w:cstheme="minorBidi"/>
                <w:b w:val="0"/>
                <w:bCs w:val="0"/>
                <w:color w:val="auto"/>
                <w:sz w:val="22"/>
                <w:szCs w:val="22"/>
              </w:rPr>
            </w:pPr>
            <w:r>
              <w:t>8</w:t>
            </w:r>
            <w:r>
              <w:rPr>
                <w:rFonts w:asciiTheme="minorHAnsi" w:eastAsiaTheme="minorEastAsia" w:hAnsiTheme="minorHAnsi" w:cstheme="minorBidi"/>
                <w:b w:val="0"/>
                <w:bCs w:val="0"/>
                <w:color w:val="auto"/>
                <w:sz w:val="22"/>
                <w:szCs w:val="22"/>
              </w:rPr>
              <w:tab/>
            </w:r>
            <w:r>
              <w:t>Impacts &amp; Other Considerations</w:t>
            </w:r>
            <w:r>
              <w:tab/>
            </w:r>
            <w:r>
              <w:fldChar w:fldCharType="begin"/>
            </w:r>
            <w:r>
              <w:instrText xml:space="preserve"> PAGEREF _Toc492567090 \h </w:instrText>
            </w:r>
            <w:r>
              <w:fldChar w:fldCharType="separate"/>
            </w:r>
            <w:r w:rsidR="002B1D49">
              <w:t>7</w:t>
            </w:r>
            <w:r>
              <w:fldChar w:fldCharType="end"/>
            </w:r>
          </w:p>
          <w:p w14:paraId="3E3589D0" w14:textId="2B2CBFF5" w:rsidR="00A81649" w:rsidRDefault="00A81649" w:rsidP="00A81649">
            <w:pPr>
              <w:pStyle w:val="TOC1"/>
              <w:framePr w:wrap="around"/>
              <w:rPr>
                <w:rFonts w:asciiTheme="minorHAnsi" w:eastAsiaTheme="minorEastAsia" w:hAnsiTheme="minorHAnsi" w:cstheme="minorBidi"/>
                <w:b w:val="0"/>
                <w:bCs w:val="0"/>
                <w:color w:val="auto"/>
                <w:sz w:val="22"/>
                <w:szCs w:val="22"/>
              </w:rPr>
            </w:pPr>
            <w:r>
              <w:t>9</w:t>
            </w:r>
            <w:r>
              <w:rPr>
                <w:rFonts w:asciiTheme="minorHAnsi" w:eastAsiaTheme="minorEastAsia" w:hAnsiTheme="minorHAnsi" w:cstheme="minorBidi"/>
                <w:b w:val="0"/>
                <w:bCs w:val="0"/>
                <w:color w:val="auto"/>
                <w:sz w:val="22"/>
                <w:szCs w:val="22"/>
              </w:rPr>
              <w:tab/>
            </w:r>
            <w:r>
              <w:t>Implementation</w:t>
            </w:r>
            <w:r>
              <w:tab/>
            </w:r>
            <w:r>
              <w:fldChar w:fldCharType="begin"/>
            </w:r>
            <w:r>
              <w:instrText xml:space="preserve"> PAGEREF _Toc492567091 \h </w:instrText>
            </w:r>
            <w:r>
              <w:fldChar w:fldCharType="separate"/>
            </w:r>
            <w:r w:rsidR="002B1D49">
              <w:t>9</w:t>
            </w:r>
            <w:r>
              <w:fldChar w:fldCharType="end"/>
            </w:r>
          </w:p>
          <w:p w14:paraId="26F4C2E9" w14:textId="44B6D98B" w:rsidR="00A81649" w:rsidRDefault="00A81649" w:rsidP="00A81649">
            <w:pPr>
              <w:pStyle w:val="TOC1"/>
              <w:framePr w:wrap="around"/>
              <w:rPr>
                <w:rFonts w:asciiTheme="minorHAnsi" w:eastAsiaTheme="minorEastAsia" w:hAnsiTheme="minorHAnsi" w:cstheme="minorBidi"/>
                <w:b w:val="0"/>
                <w:bCs w:val="0"/>
                <w:color w:val="auto"/>
                <w:sz w:val="22"/>
                <w:szCs w:val="22"/>
              </w:rPr>
            </w:pPr>
            <w:r>
              <w:t>10</w:t>
            </w:r>
            <w:r>
              <w:rPr>
                <w:rFonts w:asciiTheme="minorHAnsi" w:eastAsiaTheme="minorEastAsia" w:hAnsiTheme="minorHAnsi" w:cstheme="minorBidi"/>
                <w:b w:val="0"/>
                <w:bCs w:val="0"/>
                <w:color w:val="auto"/>
                <w:sz w:val="22"/>
                <w:szCs w:val="22"/>
              </w:rPr>
              <w:tab/>
            </w:r>
            <w:r>
              <w:t>Consultation Questions</w:t>
            </w:r>
            <w:r>
              <w:tab/>
            </w:r>
            <w:r>
              <w:fldChar w:fldCharType="begin"/>
            </w:r>
            <w:r>
              <w:instrText xml:space="preserve"> PAGEREF _Toc492567092 \h </w:instrText>
            </w:r>
            <w:r>
              <w:fldChar w:fldCharType="separate"/>
            </w:r>
            <w:r w:rsidR="002B1D49">
              <w:t>9</w:t>
            </w:r>
            <w:r>
              <w:fldChar w:fldCharType="end"/>
            </w:r>
          </w:p>
          <w:p w14:paraId="3A618568" w14:textId="135F55EC" w:rsidR="00F10E14" w:rsidRPr="00EB32BB" w:rsidRDefault="00985B9D" w:rsidP="00440FAE">
            <w:pPr>
              <w:pStyle w:val="TOCMOD"/>
              <w:framePr w:wrap="around"/>
              <w:tabs>
                <w:tab w:val="clear" w:pos="382"/>
                <w:tab w:val="clear" w:pos="7655"/>
                <w:tab w:val="left" w:pos="5385"/>
              </w:tabs>
              <w:rPr>
                <w:rFonts w:cs="Arial"/>
              </w:rPr>
            </w:pPr>
            <w:r w:rsidRPr="00EB32BB">
              <w:rPr>
                <w:rFonts w:cs="Arial"/>
              </w:rPr>
              <w:fldChar w:fldCharType="end"/>
            </w:r>
          </w:p>
          <w:p w14:paraId="4A47A891" w14:textId="77777777" w:rsidR="00F10E14" w:rsidRPr="00EB32BB" w:rsidRDefault="00AD606D" w:rsidP="00AF7744">
            <w:pPr>
              <w:pStyle w:val="Contents02"/>
            </w:pPr>
            <w:r>
              <w:t>Timetable</w:t>
            </w:r>
          </w:p>
          <w:p w14:paraId="3A1AAEF3" w14:textId="77777777" w:rsidR="005D1C6B" w:rsidRPr="00FF0C32" w:rsidRDefault="005D1C6B" w:rsidP="005D1C6B">
            <w:pPr>
              <w:rPr>
                <w:szCs w:val="20"/>
                <w:lang w:val="en-US"/>
              </w:rPr>
            </w:pPr>
            <w:r w:rsidRPr="00FF0C32">
              <w:rPr>
                <w:szCs w:val="20"/>
                <w:lang w:val="en-US"/>
              </w:rPr>
              <w:t>The timetable for the progression of the CP is as follows:</w:t>
            </w:r>
          </w:p>
          <w:p w14:paraId="2CB665D0" w14:textId="77777777" w:rsidR="007E718E" w:rsidRPr="005D1C6B" w:rsidRDefault="005D1C6B" w:rsidP="005D1C6B">
            <w:pPr>
              <w:pStyle w:val="Heading4"/>
              <w:keepLines w:val="0"/>
              <w:spacing w:before="240"/>
              <w:rPr>
                <w:rFonts w:ascii="Arial" w:eastAsia="Times New Roman" w:hAnsi="Arial" w:cs="Arial"/>
                <w:i w:val="0"/>
                <w:iCs w:val="0"/>
                <w:color w:val="008576"/>
                <w:sz w:val="22"/>
                <w:szCs w:val="22"/>
              </w:rPr>
            </w:pPr>
            <w:r w:rsidRPr="00FF0C32">
              <w:rPr>
                <w:rFonts w:ascii="Arial" w:eastAsia="Times New Roman" w:hAnsi="Arial" w:cs="Arial"/>
                <w:i w:val="0"/>
                <w:iCs w:val="0"/>
                <w:color w:val="008576"/>
                <w:sz w:val="22"/>
                <w:szCs w:val="22"/>
              </w:rPr>
              <w:t>Change Proposal timetable</w:t>
            </w:r>
          </w:p>
          <w:tbl>
            <w:tblPr>
              <w:tblpPr w:leftFromText="180" w:rightFromText="180" w:vertAnchor="text" w:tblpX="-103" w:tblpY="1"/>
              <w:tblOverlap w:val="never"/>
              <w:tblW w:w="7933" w:type="dxa"/>
              <w:tblBorders>
                <w:top w:val="single" w:sz="4" w:space="0" w:color="F2F2F2"/>
                <w:left w:val="single" w:sz="4" w:space="0" w:color="F2F2F2"/>
                <w:bottom w:val="single" w:sz="4" w:space="0" w:color="F2F2F2"/>
                <w:right w:val="single" w:sz="4" w:space="0" w:color="F2F2F2"/>
                <w:insideH w:val="single" w:sz="4" w:space="0" w:color="F2F2F2"/>
                <w:insideV w:val="single" w:sz="4" w:space="0" w:color="F2F2F2"/>
              </w:tblBorders>
              <w:tblLayout w:type="fixed"/>
              <w:tblLook w:val="04A0" w:firstRow="1" w:lastRow="0" w:firstColumn="1" w:lastColumn="0" w:noHBand="0" w:noVBand="1"/>
            </w:tblPr>
            <w:tblGrid>
              <w:gridCol w:w="5665"/>
              <w:gridCol w:w="2268"/>
            </w:tblGrid>
            <w:tr w:rsidR="00AA69EF" w:rsidRPr="00EB32BB" w14:paraId="1F1A7C10" w14:textId="77777777" w:rsidTr="00E81739">
              <w:tc>
                <w:tcPr>
                  <w:tcW w:w="7933" w:type="dxa"/>
                  <w:gridSpan w:val="2"/>
                  <w:shd w:val="clear" w:color="auto" w:fill="auto"/>
                </w:tcPr>
                <w:p w14:paraId="6C6CA59D" w14:textId="77777777" w:rsidR="00AA69EF" w:rsidRPr="00EB32BB" w:rsidRDefault="00231812" w:rsidP="005D1C6B">
                  <w:pPr>
                    <w:spacing w:before="40" w:after="40"/>
                    <w:rPr>
                      <w:rFonts w:cs="Arial"/>
                      <w:szCs w:val="20"/>
                    </w:rPr>
                  </w:pPr>
                  <w:r>
                    <w:rPr>
                      <w:rFonts w:cs="Arial"/>
                      <w:b/>
                      <w:szCs w:val="20"/>
                    </w:rPr>
                    <w:t>Change Proposal</w:t>
                  </w:r>
                  <w:r w:rsidR="00AA69EF" w:rsidRPr="00D36FC3">
                    <w:rPr>
                      <w:rFonts w:cs="Arial"/>
                      <w:b/>
                      <w:szCs w:val="20"/>
                    </w:rPr>
                    <w:t xml:space="preserve"> timetable</w:t>
                  </w:r>
                  <w:r w:rsidR="00AD606D" w:rsidRPr="00D36FC3">
                    <w:rPr>
                      <w:rFonts w:cs="Arial"/>
                      <w:b/>
                      <w:szCs w:val="20"/>
                    </w:rPr>
                    <w:t>:</w:t>
                  </w:r>
                  <w:r w:rsidR="00AA69EF" w:rsidRPr="00EB32BB">
                    <w:rPr>
                      <w:rFonts w:cs="Arial"/>
                      <w:i/>
                      <w:szCs w:val="20"/>
                    </w:rPr>
                    <w:t xml:space="preserve"> </w:t>
                  </w:r>
                </w:p>
              </w:tc>
            </w:tr>
            <w:tr w:rsidR="005D1C6B" w:rsidRPr="00EB32BB" w14:paraId="1AA90AEB" w14:textId="77777777" w:rsidTr="00F535CA">
              <w:tc>
                <w:tcPr>
                  <w:tcW w:w="5665" w:type="dxa"/>
                  <w:shd w:val="clear" w:color="auto" w:fill="BDD6EE"/>
                </w:tcPr>
                <w:p w14:paraId="56162763" w14:textId="77777777" w:rsidR="005D1C6B" w:rsidRPr="00FF0C32" w:rsidRDefault="005D1C6B" w:rsidP="005D1C6B">
                  <w:pPr>
                    <w:pStyle w:val="Heading4"/>
                    <w:keepLines w:val="0"/>
                    <w:spacing w:before="240"/>
                    <w:rPr>
                      <w:rFonts w:cs="Arial"/>
                      <w:b w:val="0"/>
                      <w:sz w:val="22"/>
                      <w:szCs w:val="22"/>
                    </w:rPr>
                  </w:pPr>
                  <w:r w:rsidRPr="00FF0C32">
                    <w:rPr>
                      <w:rFonts w:ascii="Arial" w:eastAsia="Times New Roman" w:hAnsi="Arial" w:cs="Arial"/>
                      <w:i w:val="0"/>
                      <w:iCs w:val="0"/>
                      <w:color w:val="008576"/>
                      <w:sz w:val="22"/>
                      <w:szCs w:val="22"/>
                    </w:rPr>
                    <w:t>Activity</w:t>
                  </w:r>
                </w:p>
              </w:tc>
              <w:tc>
                <w:tcPr>
                  <w:tcW w:w="2268" w:type="dxa"/>
                  <w:shd w:val="clear" w:color="auto" w:fill="BDD6EE"/>
                  <w:vAlign w:val="center"/>
                </w:tcPr>
                <w:p w14:paraId="2AF1D5EF" w14:textId="77777777" w:rsidR="005D1C6B" w:rsidRPr="007F41DB" w:rsidRDefault="005D1C6B" w:rsidP="005D1C6B">
                  <w:pPr>
                    <w:pStyle w:val="Heading4"/>
                    <w:keepLines w:val="0"/>
                    <w:spacing w:before="240"/>
                    <w:rPr>
                      <w:rFonts w:cs="Arial"/>
                      <w:b w:val="0"/>
                      <w:sz w:val="22"/>
                      <w:szCs w:val="22"/>
                    </w:rPr>
                  </w:pPr>
                  <w:r w:rsidRPr="007F41DB">
                    <w:rPr>
                      <w:rFonts w:ascii="Arial" w:eastAsia="Times New Roman" w:hAnsi="Arial" w:cs="Arial"/>
                      <w:i w:val="0"/>
                      <w:iCs w:val="0"/>
                      <w:color w:val="008576"/>
                      <w:sz w:val="22"/>
                      <w:szCs w:val="22"/>
                    </w:rPr>
                    <w:t>Date</w:t>
                  </w:r>
                </w:p>
              </w:tc>
            </w:tr>
            <w:tr w:rsidR="005D1C6B" w:rsidRPr="00EB32BB" w14:paraId="60BA23E4" w14:textId="77777777" w:rsidTr="005D1C6B">
              <w:tc>
                <w:tcPr>
                  <w:tcW w:w="5665" w:type="dxa"/>
                  <w:shd w:val="clear" w:color="auto" w:fill="auto"/>
                </w:tcPr>
                <w:p w14:paraId="62148BB9" w14:textId="77777777" w:rsidR="005D1C6B" w:rsidRPr="00EB32BB" w:rsidRDefault="005D1C6B" w:rsidP="005D1C6B">
                  <w:pPr>
                    <w:tabs>
                      <w:tab w:val="left" w:pos="171"/>
                    </w:tabs>
                    <w:spacing w:before="40" w:after="40"/>
                    <w:rPr>
                      <w:rFonts w:cs="Arial"/>
                      <w:szCs w:val="20"/>
                    </w:rPr>
                  </w:pPr>
                  <w:r w:rsidRPr="00EB32BB">
                    <w:rPr>
                      <w:rFonts w:cs="Arial"/>
                      <w:szCs w:val="20"/>
                    </w:rPr>
                    <w:t xml:space="preserve">Initial </w:t>
                  </w:r>
                  <w:r>
                    <w:rPr>
                      <w:rFonts w:cs="Arial"/>
                      <w:szCs w:val="20"/>
                    </w:rPr>
                    <w:t>Assessment Report Approved by Panel</w:t>
                  </w:r>
                </w:p>
              </w:tc>
              <w:tc>
                <w:tcPr>
                  <w:tcW w:w="2268" w:type="dxa"/>
                  <w:shd w:val="clear" w:color="auto" w:fill="auto"/>
                  <w:vAlign w:val="center"/>
                </w:tcPr>
                <w:p w14:paraId="49411472" w14:textId="645D2703" w:rsidR="005D1C6B" w:rsidRPr="000A0930" w:rsidRDefault="006C798B" w:rsidP="00E25A24">
                  <w:pPr>
                    <w:spacing w:before="40" w:after="40"/>
                    <w:rPr>
                      <w:rFonts w:cs="Arial"/>
                      <w:szCs w:val="20"/>
                      <w:highlight w:val="yellow"/>
                    </w:rPr>
                  </w:pPr>
                  <w:r>
                    <w:rPr>
                      <w:rFonts w:cs="Arial"/>
                      <w:szCs w:val="20"/>
                    </w:rPr>
                    <w:t>19 July</w:t>
                  </w:r>
                  <w:r w:rsidR="000A0930" w:rsidRPr="000A0930">
                    <w:rPr>
                      <w:rFonts w:cs="Arial"/>
                      <w:szCs w:val="20"/>
                    </w:rPr>
                    <w:t xml:space="preserve"> 2017</w:t>
                  </w:r>
                </w:p>
              </w:tc>
            </w:tr>
            <w:tr w:rsidR="005977CB" w:rsidRPr="00EB32BB" w14:paraId="5851CA4D" w14:textId="77777777" w:rsidTr="005D1C6B">
              <w:tc>
                <w:tcPr>
                  <w:tcW w:w="5665" w:type="dxa"/>
                  <w:shd w:val="clear" w:color="auto" w:fill="auto"/>
                </w:tcPr>
                <w:p w14:paraId="5FFFD0CC" w14:textId="77777777" w:rsidR="005977CB" w:rsidRPr="00580576" w:rsidRDefault="00710290" w:rsidP="00CA136E">
                  <w:pPr>
                    <w:tabs>
                      <w:tab w:val="left" w:pos="171"/>
                    </w:tabs>
                    <w:spacing w:before="40" w:after="40"/>
                    <w:rPr>
                      <w:rFonts w:cs="Arial"/>
                      <w:szCs w:val="20"/>
                    </w:rPr>
                  </w:pPr>
                  <w:r>
                    <w:rPr>
                      <w:rFonts w:cs="Arial"/>
                      <w:szCs w:val="20"/>
                    </w:rPr>
                    <w:t xml:space="preserve">First </w:t>
                  </w:r>
                  <w:r w:rsidR="005977CB" w:rsidRPr="00580576">
                    <w:rPr>
                      <w:rFonts w:cs="Arial"/>
                      <w:szCs w:val="20"/>
                    </w:rPr>
                    <w:t>Consultation issued to Parties</w:t>
                  </w:r>
                </w:p>
              </w:tc>
              <w:tc>
                <w:tcPr>
                  <w:tcW w:w="2268" w:type="dxa"/>
                  <w:shd w:val="clear" w:color="auto" w:fill="auto"/>
                  <w:vAlign w:val="center"/>
                </w:tcPr>
                <w:p w14:paraId="73F9FC52" w14:textId="029E106C" w:rsidR="005977CB" w:rsidRPr="00BF42D5" w:rsidRDefault="004B6091" w:rsidP="00580576">
                  <w:pPr>
                    <w:spacing w:before="40" w:after="40"/>
                    <w:rPr>
                      <w:rFonts w:cs="Arial"/>
                      <w:szCs w:val="20"/>
                    </w:rPr>
                  </w:pPr>
                  <w:r>
                    <w:rPr>
                      <w:rFonts w:cs="Arial"/>
                      <w:szCs w:val="20"/>
                    </w:rPr>
                    <w:t>18 September 2017</w:t>
                  </w:r>
                </w:p>
              </w:tc>
            </w:tr>
            <w:tr w:rsidR="006E1566" w:rsidRPr="00EB32BB" w14:paraId="5F0DBFD7" w14:textId="77777777" w:rsidTr="005D1C6B">
              <w:tc>
                <w:tcPr>
                  <w:tcW w:w="5665" w:type="dxa"/>
                  <w:shd w:val="clear" w:color="auto" w:fill="auto"/>
                </w:tcPr>
                <w:p w14:paraId="55605F9A" w14:textId="34A014E0" w:rsidR="006E1566" w:rsidRDefault="006E1566" w:rsidP="00CA136E">
                  <w:pPr>
                    <w:tabs>
                      <w:tab w:val="left" w:pos="171"/>
                    </w:tabs>
                    <w:spacing w:before="40" w:after="40"/>
                    <w:rPr>
                      <w:rFonts w:cs="Arial"/>
                      <w:szCs w:val="20"/>
                    </w:rPr>
                  </w:pPr>
                  <w:r>
                    <w:rPr>
                      <w:rFonts w:cs="Arial"/>
                      <w:szCs w:val="20"/>
                    </w:rPr>
                    <w:t>Methodology Pack issued to Reckon</w:t>
                  </w:r>
                </w:p>
              </w:tc>
              <w:tc>
                <w:tcPr>
                  <w:tcW w:w="2268" w:type="dxa"/>
                  <w:shd w:val="clear" w:color="auto" w:fill="auto"/>
                  <w:vAlign w:val="center"/>
                </w:tcPr>
                <w:p w14:paraId="6D4083D0" w14:textId="7B3CD7F5" w:rsidR="006E1566" w:rsidRDefault="005B33F9" w:rsidP="00580576">
                  <w:pPr>
                    <w:spacing w:before="40" w:after="40"/>
                    <w:rPr>
                      <w:rFonts w:cs="Arial"/>
                      <w:szCs w:val="20"/>
                    </w:rPr>
                  </w:pPr>
                  <w:r>
                    <w:rPr>
                      <w:rFonts w:cs="Arial"/>
                      <w:szCs w:val="20"/>
                    </w:rPr>
                    <w:t>01 November</w:t>
                  </w:r>
                  <w:r w:rsidR="006E1566">
                    <w:rPr>
                      <w:rFonts w:cs="Arial"/>
                      <w:szCs w:val="20"/>
                    </w:rPr>
                    <w:t xml:space="preserve"> 2017</w:t>
                  </w:r>
                </w:p>
              </w:tc>
            </w:tr>
            <w:tr w:rsidR="005C2EC5" w:rsidRPr="00EB32BB" w14:paraId="07F65096" w14:textId="77777777" w:rsidTr="005D1C6B">
              <w:tc>
                <w:tcPr>
                  <w:tcW w:w="5665" w:type="dxa"/>
                  <w:shd w:val="clear" w:color="auto" w:fill="auto"/>
                </w:tcPr>
                <w:p w14:paraId="1888B7DE" w14:textId="3C75DEE9" w:rsidR="005C2EC5" w:rsidRDefault="006E1566" w:rsidP="00CA136E">
                  <w:pPr>
                    <w:tabs>
                      <w:tab w:val="left" w:pos="171"/>
                    </w:tabs>
                    <w:spacing w:before="40" w:after="40"/>
                    <w:rPr>
                      <w:rFonts w:cs="Arial"/>
                      <w:szCs w:val="20"/>
                    </w:rPr>
                  </w:pPr>
                  <w:r>
                    <w:rPr>
                      <w:rFonts w:cs="Arial"/>
                      <w:szCs w:val="20"/>
                    </w:rPr>
                    <w:t>Reckon to develop model for PCDM</w:t>
                  </w:r>
                </w:p>
              </w:tc>
              <w:tc>
                <w:tcPr>
                  <w:tcW w:w="2268" w:type="dxa"/>
                  <w:shd w:val="clear" w:color="auto" w:fill="auto"/>
                  <w:vAlign w:val="center"/>
                </w:tcPr>
                <w:p w14:paraId="50026C01" w14:textId="49319CBE" w:rsidR="005C2EC5" w:rsidRDefault="005B33F9" w:rsidP="00580576">
                  <w:pPr>
                    <w:spacing w:before="40" w:after="40"/>
                    <w:rPr>
                      <w:rFonts w:cs="Arial"/>
                      <w:szCs w:val="20"/>
                    </w:rPr>
                  </w:pPr>
                  <w:r>
                    <w:rPr>
                      <w:rFonts w:cs="Arial"/>
                      <w:szCs w:val="20"/>
                    </w:rPr>
                    <w:t>16 November</w:t>
                  </w:r>
                  <w:r w:rsidR="006E1566">
                    <w:rPr>
                      <w:rFonts w:cs="Arial"/>
                      <w:szCs w:val="20"/>
                    </w:rPr>
                    <w:t xml:space="preserve"> 2017</w:t>
                  </w:r>
                </w:p>
              </w:tc>
            </w:tr>
            <w:tr w:rsidR="004B6091" w:rsidRPr="00EB32BB" w14:paraId="22C294A3" w14:textId="77777777" w:rsidTr="005D1C6B">
              <w:tc>
                <w:tcPr>
                  <w:tcW w:w="5665" w:type="dxa"/>
                  <w:shd w:val="clear" w:color="auto" w:fill="auto"/>
                </w:tcPr>
                <w:p w14:paraId="6D6A807A" w14:textId="232BB4B6" w:rsidR="004B6091" w:rsidRDefault="004B6091" w:rsidP="00CA136E">
                  <w:pPr>
                    <w:tabs>
                      <w:tab w:val="left" w:pos="171"/>
                    </w:tabs>
                    <w:spacing w:before="40" w:after="40"/>
                    <w:rPr>
                      <w:rFonts w:cs="Arial"/>
                      <w:szCs w:val="20"/>
                    </w:rPr>
                  </w:pPr>
                  <w:r>
                    <w:rPr>
                      <w:rFonts w:cs="Arial"/>
                      <w:szCs w:val="20"/>
                    </w:rPr>
                    <w:t>Second Consultation issued to Parties</w:t>
                  </w:r>
                </w:p>
              </w:tc>
              <w:tc>
                <w:tcPr>
                  <w:tcW w:w="2268" w:type="dxa"/>
                  <w:shd w:val="clear" w:color="auto" w:fill="auto"/>
                  <w:vAlign w:val="center"/>
                </w:tcPr>
                <w:p w14:paraId="29CFC4EE" w14:textId="58AD0FCF" w:rsidR="004B6091" w:rsidRDefault="005B33F9" w:rsidP="00580576">
                  <w:pPr>
                    <w:spacing w:before="40" w:after="40"/>
                    <w:rPr>
                      <w:rFonts w:cs="Arial"/>
                      <w:szCs w:val="20"/>
                    </w:rPr>
                  </w:pPr>
                  <w:commentRangeStart w:id="0"/>
                  <w:r w:rsidRPr="00C4255E">
                    <w:rPr>
                      <w:rFonts w:cs="Arial"/>
                      <w:szCs w:val="20"/>
                      <w:highlight w:val="yellow"/>
                    </w:rPr>
                    <w:t>XX</w:t>
                  </w:r>
                  <w:commentRangeEnd w:id="0"/>
                  <w:r w:rsidR="00C4255E">
                    <w:rPr>
                      <w:rStyle w:val="CommentReference"/>
                    </w:rPr>
                    <w:commentReference w:id="0"/>
                  </w:r>
                  <w:r>
                    <w:rPr>
                      <w:rFonts w:cs="Arial"/>
                      <w:szCs w:val="20"/>
                    </w:rPr>
                    <w:t xml:space="preserve"> </w:t>
                  </w:r>
                  <w:r w:rsidR="007F44BF">
                    <w:rPr>
                      <w:rFonts w:cs="Arial"/>
                      <w:szCs w:val="20"/>
                    </w:rPr>
                    <w:t>January 2018</w:t>
                  </w:r>
                </w:p>
              </w:tc>
            </w:tr>
            <w:tr w:rsidR="005977CB" w:rsidRPr="00EB32BB" w14:paraId="331463D2" w14:textId="77777777" w:rsidTr="005D1C6B">
              <w:tc>
                <w:tcPr>
                  <w:tcW w:w="5665" w:type="dxa"/>
                  <w:shd w:val="clear" w:color="auto" w:fill="auto"/>
                </w:tcPr>
                <w:p w14:paraId="54CAD732" w14:textId="77777777" w:rsidR="005977CB" w:rsidRPr="00EB32BB" w:rsidRDefault="005977CB" w:rsidP="00E25A24">
                  <w:pPr>
                    <w:tabs>
                      <w:tab w:val="left" w:pos="171"/>
                    </w:tabs>
                    <w:spacing w:before="40" w:after="40"/>
                    <w:rPr>
                      <w:rFonts w:cs="Arial"/>
                      <w:szCs w:val="20"/>
                    </w:rPr>
                  </w:pPr>
                  <w:r>
                    <w:rPr>
                      <w:rFonts w:cs="Arial"/>
                      <w:szCs w:val="20"/>
                    </w:rPr>
                    <w:t>Change</w:t>
                  </w:r>
                  <w:r w:rsidRPr="00EB32BB">
                    <w:rPr>
                      <w:rFonts w:cs="Arial"/>
                      <w:szCs w:val="20"/>
                    </w:rPr>
                    <w:t xml:space="preserve"> Report issued </w:t>
                  </w:r>
                  <w:r>
                    <w:rPr>
                      <w:rFonts w:cs="Arial"/>
                      <w:szCs w:val="20"/>
                    </w:rPr>
                    <w:t>to Panel</w:t>
                  </w:r>
                </w:p>
              </w:tc>
              <w:tc>
                <w:tcPr>
                  <w:tcW w:w="2268" w:type="dxa"/>
                  <w:shd w:val="clear" w:color="auto" w:fill="auto"/>
                  <w:vAlign w:val="center"/>
                </w:tcPr>
                <w:p w14:paraId="04AE703C" w14:textId="18C1EBBB" w:rsidR="005977CB" w:rsidRPr="00BF42D5" w:rsidRDefault="007F44BF" w:rsidP="008D7BF0">
                  <w:pPr>
                    <w:spacing w:before="40" w:after="40"/>
                    <w:rPr>
                      <w:rFonts w:cs="Arial"/>
                      <w:szCs w:val="20"/>
                    </w:rPr>
                  </w:pPr>
                  <w:r>
                    <w:rPr>
                      <w:rFonts w:cs="Arial"/>
                      <w:szCs w:val="20"/>
                    </w:rPr>
                    <w:t>11 April</w:t>
                  </w:r>
                  <w:r w:rsidR="004B6091">
                    <w:rPr>
                      <w:rFonts w:cs="Arial"/>
                      <w:szCs w:val="20"/>
                    </w:rPr>
                    <w:t xml:space="preserve"> 2018</w:t>
                  </w:r>
                </w:p>
              </w:tc>
            </w:tr>
            <w:tr w:rsidR="005977CB" w:rsidRPr="00EB32BB" w14:paraId="266678DD" w14:textId="77777777" w:rsidTr="005D1C6B">
              <w:tc>
                <w:tcPr>
                  <w:tcW w:w="5665" w:type="dxa"/>
                  <w:shd w:val="clear" w:color="auto" w:fill="auto"/>
                </w:tcPr>
                <w:p w14:paraId="304647B5" w14:textId="77777777" w:rsidR="005977CB" w:rsidRPr="00EB32BB" w:rsidRDefault="005977CB" w:rsidP="00E25A24">
                  <w:pPr>
                    <w:tabs>
                      <w:tab w:val="left" w:pos="171"/>
                    </w:tabs>
                    <w:spacing w:before="40" w:after="40"/>
                    <w:rPr>
                      <w:rFonts w:cs="Arial"/>
                      <w:szCs w:val="20"/>
                    </w:rPr>
                  </w:pPr>
                  <w:r>
                    <w:rPr>
                      <w:rFonts w:cs="Arial"/>
                      <w:szCs w:val="20"/>
                    </w:rPr>
                    <w:t>Change</w:t>
                  </w:r>
                  <w:r w:rsidRPr="00EB32BB">
                    <w:rPr>
                      <w:rFonts w:cs="Arial"/>
                      <w:szCs w:val="20"/>
                    </w:rPr>
                    <w:t xml:space="preserve"> Report issued </w:t>
                  </w:r>
                  <w:r>
                    <w:rPr>
                      <w:rFonts w:cs="Arial"/>
                      <w:szCs w:val="20"/>
                    </w:rPr>
                    <w:t>for Voting</w:t>
                  </w:r>
                </w:p>
              </w:tc>
              <w:tc>
                <w:tcPr>
                  <w:tcW w:w="2268" w:type="dxa"/>
                  <w:shd w:val="clear" w:color="auto" w:fill="auto"/>
                  <w:vAlign w:val="center"/>
                </w:tcPr>
                <w:p w14:paraId="1339AB1F" w14:textId="005C076C" w:rsidR="005977CB" w:rsidRPr="00BF42D5" w:rsidRDefault="007F44BF" w:rsidP="008D7BF0">
                  <w:pPr>
                    <w:spacing w:before="40" w:after="40"/>
                    <w:rPr>
                      <w:rFonts w:cs="Arial"/>
                      <w:szCs w:val="20"/>
                    </w:rPr>
                  </w:pPr>
                  <w:r>
                    <w:rPr>
                      <w:rFonts w:cs="Arial"/>
                      <w:szCs w:val="20"/>
                    </w:rPr>
                    <w:t>20 April</w:t>
                  </w:r>
                  <w:r w:rsidR="004B6091">
                    <w:rPr>
                      <w:rFonts w:cs="Arial"/>
                      <w:szCs w:val="20"/>
                    </w:rPr>
                    <w:t xml:space="preserve"> 2018</w:t>
                  </w:r>
                </w:p>
              </w:tc>
            </w:tr>
            <w:tr w:rsidR="005977CB" w:rsidRPr="00EB32BB" w14:paraId="61F8ED55" w14:textId="77777777" w:rsidTr="005D1C6B">
              <w:tc>
                <w:tcPr>
                  <w:tcW w:w="5665" w:type="dxa"/>
                  <w:shd w:val="clear" w:color="auto" w:fill="auto"/>
                </w:tcPr>
                <w:p w14:paraId="44377D64" w14:textId="77777777" w:rsidR="005977CB" w:rsidRPr="00EB32BB" w:rsidRDefault="005977CB" w:rsidP="00E25A24">
                  <w:pPr>
                    <w:tabs>
                      <w:tab w:val="left" w:pos="171"/>
                    </w:tabs>
                    <w:spacing w:before="40" w:after="40"/>
                    <w:rPr>
                      <w:rFonts w:cs="Arial"/>
                      <w:szCs w:val="20"/>
                    </w:rPr>
                  </w:pPr>
                  <w:r>
                    <w:rPr>
                      <w:rFonts w:cs="Arial"/>
                      <w:szCs w:val="20"/>
                    </w:rPr>
                    <w:t>Party Voting Ends</w:t>
                  </w:r>
                </w:p>
              </w:tc>
              <w:tc>
                <w:tcPr>
                  <w:tcW w:w="2268" w:type="dxa"/>
                  <w:shd w:val="clear" w:color="auto" w:fill="auto"/>
                  <w:vAlign w:val="center"/>
                </w:tcPr>
                <w:p w14:paraId="1FD24DA1" w14:textId="6514976B" w:rsidR="005977CB" w:rsidRPr="00BF42D5" w:rsidRDefault="007F44BF" w:rsidP="008D7BF0">
                  <w:pPr>
                    <w:spacing w:before="40" w:after="40"/>
                    <w:rPr>
                      <w:rFonts w:cs="Arial"/>
                      <w:szCs w:val="20"/>
                    </w:rPr>
                  </w:pPr>
                  <w:r>
                    <w:rPr>
                      <w:rFonts w:cs="Arial"/>
                      <w:szCs w:val="20"/>
                    </w:rPr>
                    <w:t>11 May</w:t>
                  </w:r>
                  <w:r w:rsidR="004B6091">
                    <w:rPr>
                      <w:rFonts w:cs="Arial"/>
                      <w:szCs w:val="20"/>
                    </w:rPr>
                    <w:t xml:space="preserve"> 2018</w:t>
                  </w:r>
                </w:p>
              </w:tc>
            </w:tr>
            <w:tr w:rsidR="005977CB" w:rsidRPr="00EB32BB" w14:paraId="34868C05" w14:textId="77777777" w:rsidTr="005D1C6B">
              <w:tc>
                <w:tcPr>
                  <w:tcW w:w="5665" w:type="dxa"/>
                  <w:shd w:val="clear" w:color="auto" w:fill="auto"/>
                </w:tcPr>
                <w:p w14:paraId="25B5B989" w14:textId="77777777" w:rsidR="005977CB" w:rsidRPr="00B81F70" w:rsidRDefault="005977CB" w:rsidP="00E25A24">
                  <w:pPr>
                    <w:tabs>
                      <w:tab w:val="left" w:pos="171"/>
                    </w:tabs>
                    <w:spacing w:before="40" w:after="40"/>
                    <w:rPr>
                      <w:rFonts w:cs="Arial"/>
                      <w:szCs w:val="20"/>
                    </w:rPr>
                  </w:pPr>
                  <w:r>
                    <w:rPr>
                      <w:rFonts w:cs="Arial"/>
                      <w:szCs w:val="20"/>
                    </w:rPr>
                    <w:t>Change Declaration Issued to Parties</w:t>
                  </w:r>
                </w:p>
              </w:tc>
              <w:tc>
                <w:tcPr>
                  <w:tcW w:w="2268" w:type="dxa"/>
                  <w:shd w:val="clear" w:color="auto" w:fill="auto"/>
                  <w:vAlign w:val="center"/>
                </w:tcPr>
                <w:p w14:paraId="479B8693" w14:textId="09D7C0E7" w:rsidR="005977CB" w:rsidRPr="00BF42D5" w:rsidRDefault="007F44BF" w:rsidP="008D7BF0">
                  <w:pPr>
                    <w:spacing w:before="40" w:after="40"/>
                    <w:rPr>
                      <w:rFonts w:cs="Arial"/>
                      <w:szCs w:val="20"/>
                    </w:rPr>
                  </w:pPr>
                  <w:r>
                    <w:rPr>
                      <w:rFonts w:cs="Arial"/>
                      <w:szCs w:val="20"/>
                    </w:rPr>
                    <w:t>15 May</w:t>
                  </w:r>
                  <w:r w:rsidR="004B6091">
                    <w:rPr>
                      <w:rFonts w:cs="Arial"/>
                      <w:szCs w:val="20"/>
                    </w:rPr>
                    <w:t xml:space="preserve"> 2018</w:t>
                  </w:r>
                </w:p>
              </w:tc>
            </w:tr>
            <w:tr w:rsidR="005977CB" w:rsidRPr="00EB32BB" w14:paraId="66FEFF17" w14:textId="77777777" w:rsidTr="005D1C6B">
              <w:trPr>
                <w:trHeight w:val="93"/>
              </w:trPr>
              <w:tc>
                <w:tcPr>
                  <w:tcW w:w="5665" w:type="dxa"/>
                  <w:shd w:val="clear" w:color="auto" w:fill="auto"/>
                </w:tcPr>
                <w:p w14:paraId="28B674C2" w14:textId="77777777" w:rsidR="005977CB" w:rsidRDefault="005977CB" w:rsidP="00CA136E">
                  <w:pPr>
                    <w:tabs>
                      <w:tab w:val="left" w:pos="171"/>
                    </w:tabs>
                    <w:spacing w:before="40" w:after="40"/>
                    <w:rPr>
                      <w:rFonts w:cs="Arial"/>
                      <w:szCs w:val="20"/>
                    </w:rPr>
                  </w:pPr>
                  <w:r>
                    <w:rPr>
                      <w:rFonts w:cs="Arial"/>
                      <w:szCs w:val="20"/>
                    </w:rPr>
                    <w:t>Authority Decision</w:t>
                  </w:r>
                </w:p>
              </w:tc>
              <w:tc>
                <w:tcPr>
                  <w:tcW w:w="2268" w:type="dxa"/>
                  <w:shd w:val="clear" w:color="auto" w:fill="auto"/>
                  <w:vAlign w:val="center"/>
                </w:tcPr>
                <w:p w14:paraId="7AAA0140" w14:textId="2BD5B6C9" w:rsidR="005977CB" w:rsidRPr="00BF42D5" w:rsidRDefault="007F44BF" w:rsidP="005D1C6B">
                  <w:pPr>
                    <w:spacing w:before="40" w:after="40"/>
                    <w:rPr>
                      <w:rFonts w:cs="Arial"/>
                      <w:szCs w:val="20"/>
                    </w:rPr>
                  </w:pPr>
                  <w:r>
                    <w:rPr>
                      <w:rFonts w:cs="Arial"/>
                      <w:szCs w:val="20"/>
                    </w:rPr>
                    <w:t>19 June</w:t>
                  </w:r>
                  <w:r w:rsidR="004B6091">
                    <w:rPr>
                      <w:rFonts w:cs="Arial"/>
                      <w:szCs w:val="20"/>
                    </w:rPr>
                    <w:t xml:space="preserve"> 2018</w:t>
                  </w:r>
                </w:p>
              </w:tc>
            </w:tr>
            <w:tr w:rsidR="005977CB" w:rsidRPr="00EB32BB" w14:paraId="3659888D" w14:textId="77777777" w:rsidTr="005D1C6B">
              <w:trPr>
                <w:trHeight w:val="93"/>
              </w:trPr>
              <w:tc>
                <w:tcPr>
                  <w:tcW w:w="5665" w:type="dxa"/>
                  <w:shd w:val="clear" w:color="auto" w:fill="auto"/>
                </w:tcPr>
                <w:p w14:paraId="5F8D0586" w14:textId="77777777" w:rsidR="005977CB" w:rsidRDefault="005977CB" w:rsidP="00CA136E">
                  <w:pPr>
                    <w:tabs>
                      <w:tab w:val="left" w:pos="171"/>
                    </w:tabs>
                    <w:spacing w:before="40" w:after="40"/>
                    <w:rPr>
                      <w:rFonts w:cs="Arial"/>
                      <w:szCs w:val="20"/>
                    </w:rPr>
                  </w:pPr>
                  <w:r>
                    <w:rPr>
                      <w:rFonts w:cs="Arial"/>
                      <w:szCs w:val="20"/>
                    </w:rPr>
                    <w:t>Implementation</w:t>
                  </w:r>
                </w:p>
              </w:tc>
              <w:tc>
                <w:tcPr>
                  <w:tcW w:w="2268" w:type="dxa"/>
                  <w:shd w:val="clear" w:color="auto" w:fill="auto"/>
                  <w:vAlign w:val="center"/>
                </w:tcPr>
                <w:p w14:paraId="4019BC4C" w14:textId="77777777" w:rsidR="005977CB" w:rsidRPr="00BF42D5" w:rsidRDefault="00BF42D5" w:rsidP="00C07E01">
                  <w:pPr>
                    <w:spacing w:before="40" w:after="40"/>
                    <w:rPr>
                      <w:rFonts w:cs="Arial"/>
                      <w:szCs w:val="20"/>
                    </w:rPr>
                  </w:pPr>
                  <w:r w:rsidRPr="00BF42D5">
                    <w:rPr>
                      <w:rFonts w:cs="Arial"/>
                      <w:szCs w:val="20"/>
                    </w:rPr>
                    <w:t xml:space="preserve">01 </w:t>
                  </w:r>
                  <w:r w:rsidR="00710290">
                    <w:rPr>
                      <w:rFonts w:cs="Arial"/>
                      <w:szCs w:val="20"/>
                    </w:rPr>
                    <w:t>April 2020</w:t>
                  </w:r>
                </w:p>
              </w:tc>
            </w:tr>
          </w:tbl>
          <w:p w14:paraId="23D85401" w14:textId="77777777" w:rsidR="000D66EC" w:rsidRPr="00EB32BB" w:rsidRDefault="000D66EC" w:rsidP="007E718E">
            <w:pPr>
              <w:pStyle w:val="BodyTextFirstIndent"/>
              <w:ind w:firstLine="0"/>
              <w:rPr>
                <w:rFonts w:cs="Arial"/>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3D1B687B" w14:textId="77777777" w:rsidR="00F10E14" w:rsidRPr="00EB32BB" w:rsidRDefault="00EB5FE7" w:rsidP="00291083">
            <w:pPr>
              <w:pStyle w:val="BodyText"/>
              <w:spacing w:before="60" w:after="60" w:line="240" w:lineRule="auto"/>
              <w:rPr>
                <w:rFonts w:cs="Arial"/>
                <w:szCs w:val="20"/>
              </w:rPr>
            </w:pPr>
            <w:r>
              <w:rPr>
                <w:rFonts w:cs="Arial"/>
                <w:noProof/>
                <w:szCs w:val="20"/>
              </w:rPr>
              <w:drawing>
                <wp:inline distT="0" distB="0" distL="0" distR="0" wp14:anchorId="69E35AEC" wp14:editId="5223F7E2">
                  <wp:extent cx="285750" cy="285750"/>
                  <wp:effectExtent l="0" t="0" r="0" b="0"/>
                  <wp:docPr id="5"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00F10E14" w:rsidRPr="00EB32BB">
              <w:rPr>
                <w:rFonts w:cs="Arial"/>
                <w:b/>
                <w:color w:val="008576"/>
                <w:szCs w:val="20"/>
              </w:rPr>
              <w:t xml:space="preserve"> Any questions?</w:t>
            </w:r>
          </w:p>
        </w:tc>
      </w:tr>
      <w:tr w:rsidR="00F10E14" w:rsidRPr="00EB32BB" w14:paraId="1076D5C4" w14:textId="77777777" w:rsidTr="004D430C">
        <w:trPr>
          <w:trHeight w:val="615"/>
        </w:trPr>
        <w:tc>
          <w:tcPr>
            <w:tcW w:w="7939" w:type="dxa"/>
            <w:vMerge/>
            <w:tcBorders>
              <w:left w:val="single" w:sz="4" w:space="0" w:color="4A8958"/>
              <w:bottom w:val="single" w:sz="4" w:space="0" w:color="4A8958"/>
              <w:right w:val="single" w:sz="4" w:space="0" w:color="4A8958"/>
            </w:tcBorders>
            <w:shd w:val="clear" w:color="auto" w:fill="auto"/>
          </w:tcPr>
          <w:p w14:paraId="6610B228" w14:textId="77777777" w:rsidR="00F10E14" w:rsidRPr="00EB32BB" w:rsidRDefault="00F10E14" w:rsidP="00A809BC">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298F8598" w14:textId="77777777" w:rsidR="00F10E14" w:rsidRPr="00EB32BB" w:rsidRDefault="00F10E14" w:rsidP="00A81AA5">
            <w:pPr>
              <w:spacing w:before="60" w:after="60" w:line="240" w:lineRule="auto"/>
              <w:rPr>
                <w:rFonts w:cs="Arial"/>
                <w:color w:val="008576"/>
                <w:szCs w:val="20"/>
              </w:rPr>
            </w:pPr>
            <w:r w:rsidRPr="00EB32BB">
              <w:rPr>
                <w:rFonts w:cs="Arial"/>
                <w:color w:val="008576"/>
                <w:szCs w:val="20"/>
              </w:rPr>
              <w:t>Contact:</w:t>
            </w:r>
          </w:p>
          <w:p w14:paraId="0204E2A0" w14:textId="77777777" w:rsidR="00F10E14" w:rsidRPr="002D7C43" w:rsidRDefault="00C345E1" w:rsidP="0063761E">
            <w:pPr>
              <w:pStyle w:val="BodyText"/>
              <w:spacing w:before="60" w:after="60" w:line="240" w:lineRule="auto"/>
              <w:rPr>
                <w:rFonts w:cs="Arial"/>
                <w:b/>
                <w:color w:val="008576"/>
                <w:szCs w:val="20"/>
              </w:rPr>
            </w:pPr>
            <w:r>
              <w:rPr>
                <w:rFonts w:cs="Arial"/>
                <w:b/>
                <w:color w:val="008576"/>
                <w:szCs w:val="20"/>
              </w:rPr>
              <w:t xml:space="preserve">Code Administrator </w:t>
            </w:r>
          </w:p>
        </w:tc>
      </w:tr>
      <w:tr w:rsidR="00F10E14" w:rsidRPr="00EB32BB" w14:paraId="2327203B" w14:textId="77777777" w:rsidTr="004D430C">
        <w:trPr>
          <w:trHeight w:val="615"/>
        </w:trPr>
        <w:tc>
          <w:tcPr>
            <w:tcW w:w="7939" w:type="dxa"/>
            <w:vMerge/>
            <w:tcBorders>
              <w:left w:val="single" w:sz="4" w:space="0" w:color="4A8958"/>
              <w:bottom w:val="single" w:sz="4" w:space="0" w:color="4A8958"/>
              <w:right w:val="single" w:sz="4" w:space="0" w:color="4A8958"/>
            </w:tcBorders>
            <w:shd w:val="clear" w:color="auto" w:fill="auto"/>
          </w:tcPr>
          <w:p w14:paraId="39F3782D" w14:textId="77777777" w:rsidR="00F10E14" w:rsidRPr="00EB32BB" w:rsidRDefault="00F10E14" w:rsidP="00A809BC">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4C563B20" w14:textId="77777777" w:rsidR="00F10E14" w:rsidRPr="00EB32BB" w:rsidRDefault="00EB5FE7" w:rsidP="00857BF6">
            <w:pPr>
              <w:pStyle w:val="BodyText"/>
              <w:spacing w:before="60" w:after="60" w:line="240" w:lineRule="auto"/>
              <w:rPr>
                <w:rFonts w:cs="Arial"/>
                <w:color w:val="008576"/>
                <w:szCs w:val="20"/>
              </w:rPr>
            </w:pPr>
            <w:r>
              <w:rPr>
                <w:rFonts w:cs="Arial"/>
                <w:b/>
                <w:noProof/>
                <w:color w:val="008576"/>
                <w:szCs w:val="20"/>
              </w:rPr>
              <w:drawing>
                <wp:inline distT="0" distB="0" distL="0" distR="0" wp14:anchorId="48E9855F" wp14:editId="41AE7969">
                  <wp:extent cx="285750" cy="285750"/>
                  <wp:effectExtent l="0" t="0" r="0" b="0"/>
                  <wp:docPr id="6" name="Picture 11"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escription: Description: email_us_go_online"/>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00C345E1">
              <w:rPr>
                <w:rFonts w:cs="Arial"/>
                <w:b/>
                <w:noProof/>
                <w:color w:val="008576"/>
                <w:szCs w:val="20"/>
                <w:lang w:val="en-US" w:eastAsia="en-US"/>
              </w:rPr>
              <w:t>DCUSA</w:t>
            </w:r>
            <w:r w:rsidR="00857BF6">
              <w:rPr>
                <w:rFonts w:cs="Arial"/>
                <w:b/>
                <w:noProof/>
                <w:color w:val="008576"/>
                <w:szCs w:val="20"/>
                <w:lang w:val="en-US" w:eastAsia="en-US"/>
              </w:rPr>
              <w:t>@electralink.co.uk</w:t>
            </w:r>
          </w:p>
        </w:tc>
      </w:tr>
      <w:tr w:rsidR="00F10E14" w:rsidRPr="00EB32BB" w14:paraId="05CFC9C3" w14:textId="77777777" w:rsidTr="004D430C">
        <w:trPr>
          <w:trHeight w:val="615"/>
        </w:trPr>
        <w:tc>
          <w:tcPr>
            <w:tcW w:w="7939" w:type="dxa"/>
            <w:vMerge/>
            <w:tcBorders>
              <w:left w:val="single" w:sz="4" w:space="0" w:color="4A8958"/>
              <w:bottom w:val="single" w:sz="4" w:space="0" w:color="4A8958"/>
              <w:right w:val="single" w:sz="4" w:space="0" w:color="4A8958"/>
            </w:tcBorders>
            <w:shd w:val="clear" w:color="auto" w:fill="auto"/>
          </w:tcPr>
          <w:p w14:paraId="2F0C3699" w14:textId="77777777" w:rsidR="00F10E14" w:rsidRPr="00EB32BB" w:rsidRDefault="00F10E14" w:rsidP="00A809BC">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02976A25" w14:textId="77777777" w:rsidR="00F10E14" w:rsidRPr="00EB32BB" w:rsidRDefault="00EB5FE7" w:rsidP="005B0B30">
            <w:pPr>
              <w:pStyle w:val="BodyText"/>
              <w:spacing w:before="60" w:after="60" w:line="240" w:lineRule="auto"/>
              <w:rPr>
                <w:rFonts w:cs="Arial"/>
                <w:color w:val="008576"/>
                <w:szCs w:val="20"/>
              </w:rPr>
            </w:pPr>
            <w:r>
              <w:rPr>
                <w:rFonts w:cs="Arial"/>
                <w:b/>
                <w:noProof/>
                <w:color w:val="008576"/>
                <w:szCs w:val="20"/>
              </w:rPr>
              <w:drawing>
                <wp:inline distT="0" distB="0" distL="0" distR="0" wp14:anchorId="5D747A33" wp14:editId="5880D430">
                  <wp:extent cx="285750" cy="285750"/>
                  <wp:effectExtent l="0" t="0" r="0" b="0"/>
                  <wp:docPr id="7" name="Picture 12"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Description: Description: call_us"/>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002D7C43">
              <w:t xml:space="preserve"> </w:t>
            </w:r>
            <w:r w:rsidR="00737853">
              <w:rPr>
                <w:rFonts w:cs="Arial"/>
                <w:b/>
                <w:noProof/>
                <w:color w:val="008576"/>
                <w:szCs w:val="20"/>
                <w:lang w:val="en-US" w:eastAsia="en-US"/>
              </w:rPr>
              <w:t>020 7432 2859</w:t>
            </w:r>
          </w:p>
        </w:tc>
      </w:tr>
      <w:tr w:rsidR="00F10E14" w:rsidRPr="00EB32BB" w14:paraId="5043AC70" w14:textId="77777777" w:rsidTr="004D430C">
        <w:trPr>
          <w:trHeight w:val="615"/>
        </w:trPr>
        <w:tc>
          <w:tcPr>
            <w:tcW w:w="7939" w:type="dxa"/>
            <w:vMerge/>
            <w:tcBorders>
              <w:left w:val="single" w:sz="4" w:space="0" w:color="4A8958"/>
              <w:bottom w:val="single" w:sz="4" w:space="0" w:color="4A8958"/>
              <w:right w:val="single" w:sz="4" w:space="0" w:color="4A8958"/>
            </w:tcBorders>
            <w:shd w:val="clear" w:color="auto" w:fill="auto"/>
          </w:tcPr>
          <w:p w14:paraId="0F7BF9CA" w14:textId="77777777" w:rsidR="00F10E14" w:rsidRPr="00EB32BB" w:rsidRDefault="00F10E14" w:rsidP="00A809BC">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222A6A7B" w14:textId="5F7B8C72" w:rsidR="00F10E14" w:rsidRPr="00E25A24" w:rsidRDefault="00F10E14" w:rsidP="00A81AA5">
            <w:pPr>
              <w:spacing w:before="60" w:after="60" w:line="240" w:lineRule="auto"/>
              <w:rPr>
                <w:rFonts w:cs="Arial"/>
                <w:color w:val="008576"/>
                <w:szCs w:val="20"/>
              </w:rPr>
            </w:pPr>
            <w:r w:rsidRPr="00EB32BB">
              <w:rPr>
                <w:rFonts w:cs="Arial"/>
                <w:color w:val="008576"/>
                <w:szCs w:val="20"/>
              </w:rPr>
              <w:t>Propo</w:t>
            </w:r>
            <w:r w:rsidR="00E25A24">
              <w:rPr>
                <w:rFonts w:cs="Arial"/>
                <w:color w:val="008576"/>
                <w:szCs w:val="20"/>
              </w:rPr>
              <w:t>ser:</w:t>
            </w:r>
            <w:r w:rsidR="00E25A24">
              <w:rPr>
                <w:rFonts w:cs="Arial"/>
                <w:b/>
                <w:color w:val="008576"/>
                <w:szCs w:val="20"/>
              </w:rPr>
              <w:t xml:space="preserve"> </w:t>
            </w:r>
            <w:r w:rsidR="000C0555">
              <w:rPr>
                <w:rFonts w:cs="Arial"/>
                <w:b/>
                <w:color w:val="008576"/>
                <w:szCs w:val="20"/>
              </w:rPr>
              <w:t>The Electricity Network Company Ltd.</w:t>
            </w:r>
          </w:p>
        </w:tc>
      </w:tr>
      <w:tr w:rsidR="00E25A24" w:rsidRPr="00EB32BB" w14:paraId="25FC86BE" w14:textId="77777777" w:rsidTr="00857BF6">
        <w:trPr>
          <w:trHeight w:val="615"/>
        </w:trPr>
        <w:tc>
          <w:tcPr>
            <w:tcW w:w="7939" w:type="dxa"/>
            <w:vMerge/>
            <w:tcBorders>
              <w:left w:val="single" w:sz="4" w:space="0" w:color="4A8958"/>
              <w:bottom w:val="single" w:sz="4" w:space="0" w:color="4A8958"/>
              <w:right w:val="single" w:sz="4" w:space="0" w:color="4A8958"/>
            </w:tcBorders>
            <w:shd w:val="clear" w:color="auto" w:fill="auto"/>
          </w:tcPr>
          <w:p w14:paraId="4F3B2C46" w14:textId="77777777" w:rsidR="00E25A24" w:rsidRPr="00EB32BB" w:rsidRDefault="00E25A24" w:rsidP="00E25A24">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2C1E6B06" w14:textId="6FF763C2" w:rsidR="00E25A24" w:rsidRPr="00EB32BB" w:rsidRDefault="00EB5FE7" w:rsidP="00E25A24">
            <w:pPr>
              <w:pStyle w:val="BodyText"/>
              <w:spacing w:before="60" w:after="60" w:line="240" w:lineRule="auto"/>
              <w:rPr>
                <w:rFonts w:cs="Arial"/>
                <w:b/>
                <w:color w:val="008576"/>
                <w:szCs w:val="20"/>
              </w:rPr>
            </w:pPr>
            <w:r>
              <w:rPr>
                <w:rFonts w:cs="Arial"/>
                <w:b/>
                <w:noProof/>
                <w:color w:val="008576"/>
                <w:szCs w:val="20"/>
              </w:rPr>
              <w:drawing>
                <wp:inline distT="0" distB="0" distL="0" distR="0" wp14:anchorId="61591139" wp14:editId="30F6A51B">
                  <wp:extent cx="285750" cy="285750"/>
                  <wp:effectExtent l="0" t="0" r="0" b="0"/>
                  <wp:docPr id="8" name="Picture 4"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escription: email_us_go_online"/>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00E25A24" w:rsidRPr="00EB32BB">
              <w:rPr>
                <w:rFonts w:cs="Arial"/>
                <w:b/>
                <w:color w:val="008576"/>
                <w:szCs w:val="20"/>
              </w:rPr>
              <w:t xml:space="preserve"> </w:t>
            </w:r>
            <w:r w:rsidR="00E25A24">
              <w:rPr>
                <w:rFonts w:cs="Arial"/>
                <w:b/>
                <w:color w:val="008576"/>
                <w:szCs w:val="20"/>
              </w:rPr>
              <w:t xml:space="preserve"> </w:t>
            </w:r>
            <w:r w:rsidR="000C0555">
              <w:rPr>
                <w:rFonts w:cs="Arial"/>
                <w:b/>
                <w:color w:val="008576"/>
                <w:szCs w:val="20"/>
              </w:rPr>
              <w:t>neil.brinkley@bu-uk.co.uk</w:t>
            </w:r>
          </w:p>
        </w:tc>
      </w:tr>
      <w:tr w:rsidR="00E25A24" w:rsidRPr="00EB32BB" w14:paraId="10E1BD01" w14:textId="77777777" w:rsidTr="004D430C">
        <w:trPr>
          <w:trHeight w:val="615"/>
        </w:trPr>
        <w:tc>
          <w:tcPr>
            <w:tcW w:w="7939" w:type="dxa"/>
            <w:vMerge/>
            <w:tcBorders>
              <w:left w:val="single" w:sz="4" w:space="0" w:color="4A8958"/>
              <w:bottom w:val="single" w:sz="4" w:space="0" w:color="4A8958"/>
              <w:right w:val="single" w:sz="4" w:space="0" w:color="4A8958"/>
            </w:tcBorders>
            <w:shd w:val="clear" w:color="auto" w:fill="auto"/>
          </w:tcPr>
          <w:p w14:paraId="63C9FE63" w14:textId="77777777" w:rsidR="00E25A24" w:rsidRPr="00EB32BB" w:rsidRDefault="00E25A24" w:rsidP="00E25A24">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57311439" w14:textId="44F32E44" w:rsidR="00E25A24" w:rsidRPr="00EB32BB" w:rsidRDefault="00EB5FE7" w:rsidP="00E25A24">
            <w:pPr>
              <w:pStyle w:val="BodyText"/>
              <w:spacing w:before="60" w:after="60" w:line="240" w:lineRule="auto"/>
              <w:rPr>
                <w:rFonts w:cs="Arial"/>
                <w:color w:val="008576"/>
                <w:szCs w:val="20"/>
              </w:rPr>
            </w:pPr>
            <w:r>
              <w:rPr>
                <w:rFonts w:cs="Arial"/>
                <w:b/>
                <w:noProof/>
                <w:color w:val="008576"/>
                <w:szCs w:val="20"/>
              </w:rPr>
              <w:drawing>
                <wp:inline distT="0" distB="0" distL="0" distR="0" wp14:anchorId="0128B7C8" wp14:editId="121F2543">
                  <wp:extent cx="285750" cy="285750"/>
                  <wp:effectExtent l="0" t="0" r="0" b="0"/>
                  <wp:docPr id="9" name="Picture 29"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Description: Description: call_us"/>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00E25A24" w:rsidRPr="00EB32BB">
              <w:rPr>
                <w:rFonts w:cs="Arial"/>
                <w:b/>
                <w:color w:val="008576"/>
                <w:szCs w:val="20"/>
              </w:rPr>
              <w:t xml:space="preserve"> </w:t>
            </w:r>
            <w:r w:rsidR="000C0555">
              <w:rPr>
                <w:rFonts w:cs="Arial"/>
                <w:b/>
                <w:color w:val="008576"/>
                <w:szCs w:val="20"/>
              </w:rPr>
              <w:t>01359 302451</w:t>
            </w:r>
          </w:p>
        </w:tc>
      </w:tr>
    </w:tbl>
    <w:p w14:paraId="3F1C913A" w14:textId="77777777" w:rsidR="00FA4B61" w:rsidRPr="00EB32BB" w:rsidRDefault="00FA4B61">
      <w:pPr>
        <w:rPr>
          <w:rFonts w:cs="Arial"/>
        </w:rPr>
      </w:pPr>
    </w:p>
    <w:p w14:paraId="45FC2AF2" w14:textId="77777777" w:rsidR="00FA4B61" w:rsidRPr="00EB32BB" w:rsidRDefault="00FA4B61">
      <w:pPr>
        <w:rPr>
          <w:rFonts w:cs="Arial"/>
        </w:rPr>
      </w:pPr>
    </w:p>
    <w:p w14:paraId="76086DB0" w14:textId="77777777" w:rsidR="00FA4B61" w:rsidRPr="00EB32BB" w:rsidRDefault="00FA4B61">
      <w:pPr>
        <w:rPr>
          <w:rFonts w:cs="Arial"/>
        </w:rPr>
      </w:pPr>
    </w:p>
    <w:p w14:paraId="3C64E8BB" w14:textId="77777777" w:rsidR="00FD0418" w:rsidRDefault="00FD0418">
      <w:pPr>
        <w:rPr>
          <w:rFonts w:cs="Arial"/>
        </w:rPr>
      </w:pPr>
    </w:p>
    <w:p w14:paraId="06412814" w14:textId="77777777" w:rsidR="00A968AB" w:rsidRDefault="00A968AB">
      <w:pPr>
        <w:rPr>
          <w:rFonts w:cs="Arial"/>
        </w:rPr>
      </w:pPr>
    </w:p>
    <w:p w14:paraId="0CAB2816" w14:textId="77777777" w:rsidR="000363FA" w:rsidRPr="00EB32BB" w:rsidRDefault="000363FA">
      <w:pPr>
        <w:rPr>
          <w:rFonts w:cs="Arial"/>
        </w:rPr>
      </w:pPr>
    </w:p>
    <w:p w14:paraId="1D2D9CE6" w14:textId="77777777" w:rsidR="00143041" w:rsidRPr="00EB32BB" w:rsidRDefault="004C6117" w:rsidP="00F20A95">
      <w:pPr>
        <w:pStyle w:val="Heading02"/>
        <w:numPr>
          <w:ilvl w:val="0"/>
          <w:numId w:val="20"/>
        </w:numPr>
        <w:ind w:hanging="578"/>
      </w:pPr>
      <w:bookmarkStart w:id="1" w:name="_Toc188527263"/>
      <w:bookmarkStart w:id="2" w:name="_Toc318962133"/>
      <w:bookmarkStart w:id="3" w:name="_Toc453107796"/>
      <w:bookmarkStart w:id="4" w:name="_Toc492567083"/>
      <w:r>
        <w:t>Summary</w:t>
      </w:r>
      <w:bookmarkEnd w:id="1"/>
      <w:bookmarkEnd w:id="2"/>
      <w:bookmarkEnd w:id="3"/>
      <w:bookmarkEnd w:id="4"/>
    </w:p>
    <w:p w14:paraId="79E8F346" w14:textId="77777777" w:rsidR="0012717A" w:rsidRDefault="0012717A" w:rsidP="0012717A">
      <w:pPr>
        <w:pStyle w:val="Heading4"/>
        <w:keepLines w:val="0"/>
        <w:spacing w:before="240"/>
        <w:rPr>
          <w:rFonts w:ascii="Arial" w:eastAsia="Times New Roman" w:hAnsi="Arial" w:cs="Arial"/>
          <w:i w:val="0"/>
          <w:iCs w:val="0"/>
          <w:color w:val="008576"/>
          <w:sz w:val="24"/>
          <w:szCs w:val="28"/>
        </w:rPr>
      </w:pPr>
      <w:bookmarkStart w:id="5" w:name="_Toc318962134"/>
      <w:r w:rsidRPr="004C6117">
        <w:rPr>
          <w:rFonts w:ascii="Arial" w:eastAsia="Times New Roman" w:hAnsi="Arial" w:cs="Arial"/>
          <w:i w:val="0"/>
          <w:iCs w:val="0"/>
          <w:color w:val="008576"/>
          <w:sz w:val="24"/>
          <w:szCs w:val="28"/>
        </w:rPr>
        <w:t>What</w:t>
      </w:r>
      <w:r w:rsidR="00E26B1D">
        <w:rPr>
          <w:rFonts w:ascii="Arial" w:eastAsia="Times New Roman" w:hAnsi="Arial" w:cs="Arial"/>
          <w:i w:val="0"/>
          <w:iCs w:val="0"/>
          <w:color w:val="008576"/>
          <w:sz w:val="24"/>
          <w:szCs w:val="28"/>
        </w:rPr>
        <w:t>?</w:t>
      </w:r>
    </w:p>
    <w:p w14:paraId="78C9CED2" w14:textId="77777777" w:rsidR="003328B8" w:rsidRDefault="003328B8" w:rsidP="00113A6E">
      <w:pPr>
        <w:pStyle w:val="Heading2"/>
        <w:numPr>
          <w:ilvl w:val="1"/>
          <w:numId w:val="14"/>
        </w:numPr>
        <w:spacing w:before="240" w:after="60" w:line="360" w:lineRule="auto"/>
        <w:jc w:val="both"/>
        <w:rPr>
          <w:color w:val="auto"/>
          <w:sz w:val="20"/>
          <w:szCs w:val="20"/>
        </w:rPr>
      </w:pPr>
      <w:r w:rsidRPr="003328B8">
        <w:rPr>
          <w:color w:val="auto"/>
          <w:sz w:val="20"/>
          <w:szCs w:val="20"/>
        </w:rPr>
        <w:t>The Distribution Connection and Use of System Agreement (DCUSA) is a multi-party contract between electricity Distributors and electricity Suppliers and large Generators. Parties to the DCUSA can raise Change Proposals (CPs) to amend the Agreement with the consent of other Parties and (where applicable) the Authority.</w:t>
      </w:r>
    </w:p>
    <w:p w14:paraId="71103B02" w14:textId="3ADA3B2B" w:rsidR="000A0930" w:rsidRPr="000A0930" w:rsidRDefault="000A0930" w:rsidP="00113A6E">
      <w:pPr>
        <w:pStyle w:val="Heading2"/>
        <w:numPr>
          <w:ilvl w:val="1"/>
          <w:numId w:val="14"/>
        </w:numPr>
        <w:spacing w:before="240" w:after="60" w:line="360" w:lineRule="auto"/>
        <w:jc w:val="both"/>
        <w:rPr>
          <w:color w:val="auto"/>
          <w:sz w:val="20"/>
          <w:szCs w:val="20"/>
        </w:rPr>
      </w:pPr>
      <w:r w:rsidRPr="000A0930">
        <w:rPr>
          <w:color w:val="auto"/>
          <w:sz w:val="20"/>
          <w:szCs w:val="20"/>
        </w:rPr>
        <w:t xml:space="preserve">This CP seeks to </w:t>
      </w:r>
      <w:r w:rsidR="00710290">
        <w:rPr>
          <w:color w:val="auto"/>
          <w:sz w:val="20"/>
          <w:szCs w:val="20"/>
        </w:rPr>
        <w:t xml:space="preserve">improve the cost reflectivity of </w:t>
      </w:r>
      <w:proofErr w:type="spellStart"/>
      <w:r w:rsidR="00710290">
        <w:rPr>
          <w:color w:val="auto"/>
          <w:sz w:val="20"/>
          <w:szCs w:val="20"/>
        </w:rPr>
        <w:t>Opex</w:t>
      </w:r>
      <w:proofErr w:type="spellEnd"/>
      <w:r w:rsidR="00710290">
        <w:rPr>
          <w:color w:val="auto"/>
          <w:sz w:val="20"/>
          <w:szCs w:val="20"/>
        </w:rPr>
        <w:t xml:space="preserve"> cost allocation within the Price Control Disaggregation Model (PCDM) (part of Schedule 16</w:t>
      </w:r>
      <w:r w:rsidR="006E1566">
        <w:rPr>
          <w:rStyle w:val="FootnoteReference"/>
          <w:color w:val="auto"/>
          <w:sz w:val="20"/>
          <w:szCs w:val="20"/>
        </w:rPr>
        <w:footnoteReference w:id="2"/>
      </w:r>
      <w:r w:rsidR="00710290">
        <w:rPr>
          <w:color w:val="auto"/>
          <w:sz w:val="20"/>
          <w:szCs w:val="20"/>
        </w:rPr>
        <w:t xml:space="preserve">) by allocating Ofgem licence fee costs directly to </w:t>
      </w:r>
      <w:r w:rsidR="00CC2FE8">
        <w:rPr>
          <w:color w:val="auto"/>
          <w:sz w:val="20"/>
          <w:szCs w:val="20"/>
        </w:rPr>
        <w:t>an appropriate network tier</w:t>
      </w:r>
      <w:r w:rsidR="00710290">
        <w:rPr>
          <w:color w:val="auto"/>
          <w:sz w:val="20"/>
          <w:szCs w:val="20"/>
        </w:rPr>
        <w:t>.</w:t>
      </w:r>
    </w:p>
    <w:p w14:paraId="16B4AB26" w14:textId="77777777" w:rsidR="0012717A" w:rsidRPr="00E25A24" w:rsidRDefault="0012717A" w:rsidP="00113A6E">
      <w:pPr>
        <w:pStyle w:val="Heading4"/>
        <w:keepLines w:val="0"/>
        <w:spacing w:before="240"/>
        <w:jc w:val="both"/>
        <w:rPr>
          <w:rFonts w:ascii="Arial" w:eastAsia="Times New Roman" w:hAnsi="Arial" w:cs="Arial"/>
          <w:i w:val="0"/>
          <w:iCs w:val="0"/>
          <w:color w:val="008576"/>
          <w:sz w:val="24"/>
          <w:szCs w:val="28"/>
        </w:rPr>
      </w:pPr>
      <w:r w:rsidRPr="00E25A24">
        <w:rPr>
          <w:rFonts w:ascii="Arial" w:eastAsia="Times New Roman" w:hAnsi="Arial" w:cs="Arial"/>
          <w:i w:val="0"/>
          <w:iCs w:val="0"/>
          <w:color w:val="008576"/>
          <w:sz w:val="24"/>
          <w:szCs w:val="28"/>
        </w:rPr>
        <w:t>Why</w:t>
      </w:r>
      <w:r w:rsidR="00E26B1D" w:rsidRPr="00E25A24">
        <w:rPr>
          <w:rFonts w:ascii="Arial" w:eastAsia="Times New Roman" w:hAnsi="Arial" w:cs="Arial"/>
          <w:i w:val="0"/>
          <w:iCs w:val="0"/>
          <w:color w:val="008576"/>
          <w:sz w:val="24"/>
          <w:szCs w:val="28"/>
        </w:rPr>
        <w:t>?</w:t>
      </w:r>
      <w:r w:rsidR="00CA136E" w:rsidRPr="00E25A24">
        <w:rPr>
          <w:rFonts w:ascii="Arial" w:eastAsia="Times New Roman" w:hAnsi="Arial" w:cs="Arial"/>
          <w:i w:val="0"/>
          <w:iCs w:val="0"/>
          <w:color w:val="008576"/>
          <w:sz w:val="24"/>
          <w:szCs w:val="28"/>
        </w:rPr>
        <w:t xml:space="preserve"> </w:t>
      </w:r>
    </w:p>
    <w:p w14:paraId="2C16882E" w14:textId="068A4EAC" w:rsidR="000A0930" w:rsidRPr="000A0930" w:rsidRDefault="00710290" w:rsidP="00113A6E">
      <w:pPr>
        <w:pStyle w:val="Heading2"/>
        <w:numPr>
          <w:ilvl w:val="1"/>
          <w:numId w:val="14"/>
        </w:numPr>
        <w:spacing w:before="240" w:after="60" w:line="360" w:lineRule="auto"/>
        <w:jc w:val="both"/>
        <w:rPr>
          <w:color w:val="auto"/>
          <w:sz w:val="20"/>
          <w:szCs w:val="20"/>
        </w:rPr>
      </w:pPr>
      <w:r>
        <w:rPr>
          <w:color w:val="auto"/>
          <w:sz w:val="20"/>
          <w:szCs w:val="20"/>
        </w:rPr>
        <w:t xml:space="preserve">Currently, Ofgem licence fees are calculated and paid by distributors on a £ per MPAN basis. The licence fee costs are not presently considered within the PCDM in calculating the </w:t>
      </w:r>
      <w:proofErr w:type="spellStart"/>
      <w:r>
        <w:rPr>
          <w:color w:val="auto"/>
          <w:sz w:val="20"/>
          <w:szCs w:val="20"/>
        </w:rPr>
        <w:t>Opex</w:t>
      </w:r>
      <w:proofErr w:type="spellEnd"/>
      <w:r>
        <w:rPr>
          <w:color w:val="auto"/>
          <w:sz w:val="20"/>
          <w:szCs w:val="20"/>
        </w:rPr>
        <w:t xml:space="preserve"> cost allocation driver</w:t>
      </w:r>
      <w:r w:rsidR="00C345E1">
        <w:rPr>
          <w:color w:val="auto"/>
          <w:sz w:val="20"/>
          <w:szCs w:val="20"/>
        </w:rPr>
        <w:t>.</w:t>
      </w:r>
      <w:r>
        <w:rPr>
          <w:color w:val="auto"/>
          <w:sz w:val="20"/>
          <w:szCs w:val="20"/>
        </w:rPr>
        <w:t xml:space="preserve"> </w:t>
      </w:r>
      <w:r w:rsidR="00CC2FE8">
        <w:rPr>
          <w:color w:val="auto"/>
          <w:sz w:val="20"/>
          <w:szCs w:val="20"/>
        </w:rPr>
        <w:t xml:space="preserve">It is the view of the Proposer that </w:t>
      </w:r>
      <w:r>
        <w:rPr>
          <w:color w:val="auto"/>
          <w:sz w:val="20"/>
          <w:szCs w:val="20"/>
        </w:rPr>
        <w:t>the costs associated with Ofgem licence fees are not correctly allocated, leading to the L</w:t>
      </w:r>
      <w:r w:rsidR="006A109D">
        <w:rPr>
          <w:color w:val="auto"/>
          <w:sz w:val="20"/>
          <w:szCs w:val="20"/>
        </w:rPr>
        <w:t xml:space="preserve">icensed </w:t>
      </w:r>
      <w:r>
        <w:rPr>
          <w:color w:val="auto"/>
          <w:sz w:val="20"/>
          <w:szCs w:val="20"/>
        </w:rPr>
        <w:t>D</w:t>
      </w:r>
      <w:r w:rsidR="006A109D">
        <w:rPr>
          <w:color w:val="auto"/>
          <w:sz w:val="20"/>
          <w:szCs w:val="20"/>
        </w:rPr>
        <w:t xml:space="preserve">istributor </w:t>
      </w:r>
      <w:r>
        <w:rPr>
          <w:color w:val="auto"/>
          <w:sz w:val="20"/>
          <w:szCs w:val="20"/>
        </w:rPr>
        <w:t>N</w:t>
      </w:r>
      <w:r w:rsidR="006A109D">
        <w:rPr>
          <w:color w:val="auto"/>
          <w:sz w:val="20"/>
          <w:szCs w:val="20"/>
        </w:rPr>
        <w:t xml:space="preserve">etwork </w:t>
      </w:r>
      <w:r>
        <w:rPr>
          <w:color w:val="auto"/>
          <w:sz w:val="20"/>
          <w:szCs w:val="20"/>
        </w:rPr>
        <w:t>O</w:t>
      </w:r>
      <w:r w:rsidR="006A109D">
        <w:rPr>
          <w:color w:val="auto"/>
          <w:sz w:val="20"/>
          <w:szCs w:val="20"/>
        </w:rPr>
        <w:t>perator (LDNO)</w:t>
      </w:r>
      <w:r w:rsidR="006E1566">
        <w:rPr>
          <w:rStyle w:val="FootnoteReference"/>
          <w:color w:val="auto"/>
          <w:sz w:val="20"/>
          <w:szCs w:val="20"/>
        </w:rPr>
        <w:footnoteReference w:id="3"/>
      </w:r>
      <w:r>
        <w:rPr>
          <w:color w:val="auto"/>
          <w:sz w:val="20"/>
          <w:szCs w:val="20"/>
        </w:rPr>
        <w:t xml:space="preserve"> tariffs being less cost reflective, particularly for L</w:t>
      </w:r>
      <w:r w:rsidR="00CC2FE8">
        <w:rPr>
          <w:color w:val="auto"/>
          <w:sz w:val="20"/>
          <w:szCs w:val="20"/>
        </w:rPr>
        <w:t xml:space="preserve">ow </w:t>
      </w:r>
      <w:r>
        <w:rPr>
          <w:color w:val="auto"/>
          <w:sz w:val="20"/>
          <w:szCs w:val="20"/>
        </w:rPr>
        <w:t>V</w:t>
      </w:r>
      <w:r w:rsidR="00CC2FE8">
        <w:rPr>
          <w:color w:val="auto"/>
          <w:sz w:val="20"/>
          <w:szCs w:val="20"/>
        </w:rPr>
        <w:t>oltage (LV)</w:t>
      </w:r>
      <w:r>
        <w:rPr>
          <w:color w:val="auto"/>
          <w:sz w:val="20"/>
          <w:szCs w:val="20"/>
        </w:rPr>
        <w:t xml:space="preserve"> connected end user LDNO tariffs (H</w:t>
      </w:r>
      <w:r w:rsidR="00CC2FE8">
        <w:rPr>
          <w:color w:val="auto"/>
          <w:sz w:val="20"/>
          <w:szCs w:val="20"/>
        </w:rPr>
        <w:t xml:space="preserve">igh </w:t>
      </w:r>
      <w:r>
        <w:rPr>
          <w:color w:val="auto"/>
          <w:sz w:val="20"/>
          <w:szCs w:val="20"/>
        </w:rPr>
        <w:t>V</w:t>
      </w:r>
      <w:r w:rsidR="00CC2FE8">
        <w:rPr>
          <w:color w:val="auto"/>
          <w:sz w:val="20"/>
          <w:szCs w:val="20"/>
        </w:rPr>
        <w:t>oltage (HV)</w:t>
      </w:r>
      <w:r>
        <w:rPr>
          <w:color w:val="auto"/>
          <w:sz w:val="20"/>
          <w:szCs w:val="20"/>
        </w:rPr>
        <w:t>:LV, LV:LV etc.)</w:t>
      </w:r>
    </w:p>
    <w:p w14:paraId="7773091A" w14:textId="77777777" w:rsidR="0012717A" w:rsidRDefault="0012717A" w:rsidP="00113A6E">
      <w:pPr>
        <w:pStyle w:val="Heading4"/>
        <w:keepLines w:val="0"/>
        <w:spacing w:before="240"/>
        <w:jc w:val="both"/>
        <w:rPr>
          <w:rFonts w:ascii="Arial" w:eastAsia="Times New Roman" w:hAnsi="Arial" w:cs="Arial"/>
          <w:i w:val="0"/>
          <w:iCs w:val="0"/>
          <w:color w:val="008576"/>
          <w:sz w:val="24"/>
          <w:szCs w:val="28"/>
        </w:rPr>
      </w:pPr>
      <w:r w:rsidRPr="004C6117">
        <w:rPr>
          <w:rFonts w:ascii="Arial" w:eastAsia="Times New Roman" w:hAnsi="Arial" w:cs="Arial"/>
          <w:i w:val="0"/>
          <w:iCs w:val="0"/>
          <w:color w:val="008576"/>
          <w:sz w:val="24"/>
          <w:szCs w:val="28"/>
        </w:rPr>
        <w:t>How</w:t>
      </w:r>
      <w:r w:rsidR="00E26B1D">
        <w:rPr>
          <w:rFonts w:ascii="Arial" w:eastAsia="Times New Roman" w:hAnsi="Arial" w:cs="Arial"/>
          <w:i w:val="0"/>
          <w:iCs w:val="0"/>
          <w:color w:val="008576"/>
          <w:sz w:val="24"/>
          <w:szCs w:val="28"/>
        </w:rPr>
        <w:t>?</w:t>
      </w:r>
    </w:p>
    <w:p w14:paraId="133113B9" w14:textId="5054F4D5" w:rsidR="000A0930" w:rsidRDefault="00710290" w:rsidP="00113A6E">
      <w:pPr>
        <w:pStyle w:val="Heading2"/>
        <w:numPr>
          <w:ilvl w:val="1"/>
          <w:numId w:val="14"/>
        </w:numPr>
        <w:spacing w:before="240" w:after="60" w:line="360" w:lineRule="auto"/>
        <w:jc w:val="both"/>
        <w:rPr>
          <w:color w:val="auto"/>
          <w:sz w:val="20"/>
          <w:szCs w:val="20"/>
        </w:rPr>
      </w:pPr>
      <w:r>
        <w:rPr>
          <w:color w:val="auto"/>
          <w:sz w:val="20"/>
          <w:szCs w:val="20"/>
        </w:rPr>
        <w:t>This change suggests that the most appropriate solution to this issue is to directly allocate the Ofgem licence fees (taken from 2007/08 Regulatory Reporting Pack table 2.6) to the LV services network level</w:t>
      </w:r>
      <w:r w:rsidR="00CC2FE8">
        <w:rPr>
          <w:color w:val="auto"/>
          <w:sz w:val="20"/>
          <w:szCs w:val="20"/>
        </w:rPr>
        <w:t xml:space="preserve"> although further consideration should be given to allocating </w:t>
      </w:r>
      <w:r w:rsidR="002A1442">
        <w:rPr>
          <w:color w:val="auto"/>
          <w:sz w:val="20"/>
          <w:szCs w:val="20"/>
        </w:rPr>
        <w:t>the licenc</w:t>
      </w:r>
      <w:r w:rsidR="00CC2FE8">
        <w:rPr>
          <w:color w:val="auto"/>
          <w:sz w:val="20"/>
          <w:szCs w:val="20"/>
        </w:rPr>
        <w:t>e fee at each network level</w:t>
      </w:r>
      <w:r w:rsidR="005C20E9">
        <w:rPr>
          <w:color w:val="auto"/>
          <w:sz w:val="20"/>
          <w:szCs w:val="20"/>
        </w:rPr>
        <w:t>.</w:t>
      </w:r>
    </w:p>
    <w:p w14:paraId="2A1AA42F" w14:textId="5657209C" w:rsidR="002249A0" w:rsidRDefault="002249A0" w:rsidP="002249A0">
      <w:pPr>
        <w:pStyle w:val="ListParagraph"/>
        <w:numPr>
          <w:ilvl w:val="1"/>
          <w:numId w:val="14"/>
        </w:numPr>
      </w:pPr>
      <w:r>
        <w:t xml:space="preserve">Following the first consultation and discussion of the CP within the Working Group, the </w:t>
      </w:r>
      <w:r w:rsidR="00745C95">
        <w:t xml:space="preserve">Working Group are issuing </w:t>
      </w:r>
      <w:r>
        <w:t>a second consultation to gain industry views on the impacts of the modelling changes that are needed to the PCDM to facilitate this change</w:t>
      </w:r>
      <w:r w:rsidR="00490CAA">
        <w:t xml:space="preserve"> based on allocating the Ofgem licence fee to the LV service network</w:t>
      </w:r>
      <w:r>
        <w:t>.</w:t>
      </w:r>
    </w:p>
    <w:p w14:paraId="626BCB96" w14:textId="77777777" w:rsidR="00E6212D" w:rsidRPr="00EB32BB" w:rsidRDefault="00E6212D" w:rsidP="00CB2A38">
      <w:pPr>
        <w:pStyle w:val="Heading02"/>
        <w:numPr>
          <w:ilvl w:val="0"/>
          <w:numId w:val="14"/>
        </w:numPr>
      </w:pPr>
      <w:bookmarkStart w:id="6" w:name="_Toc453107797"/>
      <w:bookmarkStart w:id="7" w:name="_Toc492567084"/>
      <w:r>
        <w:lastRenderedPageBreak/>
        <w:t>Governance</w:t>
      </w:r>
      <w:bookmarkEnd w:id="5"/>
      <w:bookmarkEnd w:id="6"/>
      <w:bookmarkEnd w:id="7"/>
    </w:p>
    <w:p w14:paraId="5C6E168D" w14:textId="77777777" w:rsidR="007C7FB5" w:rsidRDefault="002D7C43" w:rsidP="007C7FB5">
      <w:pPr>
        <w:pStyle w:val="Heading4"/>
        <w:keepLines w:val="0"/>
        <w:spacing w:before="240"/>
        <w:ind w:left="864" w:hanging="864"/>
        <w:rPr>
          <w:rFonts w:ascii="Arial" w:eastAsia="Times New Roman" w:hAnsi="Arial" w:cs="Arial"/>
          <w:b w:val="0"/>
          <w:iCs w:val="0"/>
          <w:color w:val="008576"/>
          <w:sz w:val="18"/>
          <w:szCs w:val="18"/>
        </w:rPr>
      </w:pPr>
      <w:r>
        <w:rPr>
          <w:rFonts w:ascii="Arial" w:eastAsia="Times New Roman" w:hAnsi="Arial" w:cs="Arial"/>
          <w:i w:val="0"/>
          <w:iCs w:val="0"/>
          <w:color w:val="008576"/>
          <w:sz w:val="24"/>
          <w:szCs w:val="28"/>
        </w:rPr>
        <w:t>Justification for</w:t>
      </w:r>
      <w:r w:rsidR="00335479">
        <w:rPr>
          <w:rFonts w:ascii="Arial" w:eastAsia="Times New Roman" w:hAnsi="Arial" w:cs="Arial"/>
          <w:i w:val="0"/>
          <w:iCs w:val="0"/>
          <w:color w:val="008576"/>
          <w:sz w:val="24"/>
          <w:szCs w:val="28"/>
        </w:rPr>
        <w:t xml:space="preserve"> Part 1</w:t>
      </w:r>
      <w:r w:rsidR="00582E0D">
        <w:rPr>
          <w:rFonts w:ascii="Arial" w:eastAsia="Times New Roman" w:hAnsi="Arial" w:cs="Arial"/>
          <w:i w:val="0"/>
          <w:iCs w:val="0"/>
          <w:color w:val="008576"/>
          <w:sz w:val="24"/>
          <w:szCs w:val="28"/>
        </w:rPr>
        <w:t xml:space="preserve"> Matter</w:t>
      </w:r>
      <w:r w:rsidR="00231812">
        <w:rPr>
          <w:rFonts w:ascii="Arial" w:eastAsia="Times New Roman" w:hAnsi="Arial" w:cs="Arial"/>
          <w:i w:val="0"/>
          <w:iCs w:val="0"/>
          <w:color w:val="008576"/>
          <w:sz w:val="24"/>
          <w:szCs w:val="28"/>
        </w:rPr>
        <w:t xml:space="preserve"> </w:t>
      </w:r>
    </w:p>
    <w:p w14:paraId="2D326E2C" w14:textId="77777777" w:rsidR="002249A0" w:rsidRDefault="00710290" w:rsidP="00113A6E">
      <w:pPr>
        <w:pStyle w:val="Heading2"/>
        <w:numPr>
          <w:ilvl w:val="1"/>
          <w:numId w:val="14"/>
        </w:numPr>
        <w:spacing w:before="240" w:after="60" w:line="360" w:lineRule="auto"/>
        <w:jc w:val="both"/>
        <w:rPr>
          <w:color w:val="auto"/>
          <w:sz w:val="20"/>
          <w:szCs w:val="20"/>
        </w:rPr>
      </w:pPr>
      <w:r>
        <w:rPr>
          <w:color w:val="auto"/>
          <w:sz w:val="20"/>
          <w:szCs w:val="20"/>
        </w:rPr>
        <w:t>DCP 306</w:t>
      </w:r>
      <w:r w:rsidR="00335479" w:rsidRPr="00762B27">
        <w:rPr>
          <w:color w:val="auto"/>
          <w:sz w:val="20"/>
          <w:szCs w:val="20"/>
        </w:rPr>
        <w:t xml:space="preserve"> has been designated as a Part 1 Matter </w:t>
      </w:r>
      <w:r w:rsidR="002249A0">
        <w:rPr>
          <w:color w:val="auto"/>
          <w:sz w:val="20"/>
          <w:szCs w:val="20"/>
        </w:rPr>
        <w:t>and therefore will go the Authority for determination after the voting proves has completed.</w:t>
      </w:r>
    </w:p>
    <w:p w14:paraId="06640FFE" w14:textId="00EFF0CF" w:rsidR="00D63847" w:rsidRPr="002249A0" w:rsidRDefault="002249A0" w:rsidP="002249A0">
      <w:pPr>
        <w:pStyle w:val="Heading2"/>
        <w:numPr>
          <w:ilvl w:val="1"/>
          <w:numId w:val="14"/>
        </w:numPr>
        <w:spacing w:before="240" w:after="60" w:line="360" w:lineRule="auto"/>
        <w:jc w:val="both"/>
        <w:rPr>
          <w:color w:val="auto"/>
          <w:sz w:val="20"/>
          <w:szCs w:val="20"/>
        </w:rPr>
      </w:pPr>
      <w:r w:rsidRPr="002249A0">
        <w:rPr>
          <w:color w:val="auto"/>
          <w:sz w:val="20"/>
          <w:szCs w:val="20"/>
        </w:rPr>
        <w:t>This is considered a Part 1 Matter as it affects DCUSA Clause 9.4.2B and is likely to have a significant impact on competition in the distribution of electricity.</w:t>
      </w:r>
      <w:r w:rsidR="006A109D" w:rsidRPr="002249A0">
        <w:rPr>
          <w:sz w:val="20"/>
          <w:szCs w:val="20"/>
        </w:rPr>
        <w:t xml:space="preserve"> </w:t>
      </w:r>
    </w:p>
    <w:p w14:paraId="47C644E9" w14:textId="77777777" w:rsidR="00E50A06" w:rsidRDefault="00E50A06" w:rsidP="00113A6E">
      <w:pPr>
        <w:pStyle w:val="Heading4"/>
        <w:keepLines w:val="0"/>
        <w:spacing w:before="240"/>
        <w:jc w:val="both"/>
        <w:rPr>
          <w:rFonts w:ascii="Arial" w:eastAsia="Times New Roman" w:hAnsi="Arial" w:cs="Arial"/>
          <w:b w:val="0"/>
          <w:iCs w:val="0"/>
          <w:color w:val="FF0000"/>
          <w:szCs w:val="20"/>
        </w:rPr>
      </w:pPr>
      <w:r>
        <w:rPr>
          <w:rFonts w:ascii="Arial" w:eastAsia="Times New Roman" w:hAnsi="Arial" w:cs="Arial"/>
          <w:i w:val="0"/>
          <w:iCs w:val="0"/>
          <w:color w:val="008576"/>
          <w:sz w:val="24"/>
        </w:rPr>
        <w:t>Requested Next Steps</w:t>
      </w:r>
    </w:p>
    <w:p w14:paraId="1C4E7CFB" w14:textId="15115AA7" w:rsidR="00737853" w:rsidRDefault="00737853" w:rsidP="00113A6E">
      <w:pPr>
        <w:pStyle w:val="Heading2"/>
        <w:numPr>
          <w:ilvl w:val="1"/>
          <w:numId w:val="14"/>
        </w:numPr>
        <w:spacing w:before="240" w:after="60" w:line="360" w:lineRule="auto"/>
        <w:jc w:val="both"/>
        <w:rPr>
          <w:color w:val="auto"/>
          <w:sz w:val="20"/>
          <w:szCs w:val="20"/>
        </w:rPr>
      </w:pPr>
      <w:bookmarkStart w:id="8" w:name="_Toc318962135"/>
      <w:bookmarkStart w:id="9" w:name="_Toc453107798"/>
      <w:r w:rsidRPr="00737853">
        <w:rPr>
          <w:color w:val="auto"/>
          <w:sz w:val="20"/>
          <w:szCs w:val="20"/>
        </w:rPr>
        <w:t>F</w:t>
      </w:r>
      <w:r w:rsidR="00CA136E" w:rsidRPr="00737853">
        <w:rPr>
          <w:color w:val="auto"/>
          <w:sz w:val="20"/>
          <w:szCs w:val="20"/>
        </w:rPr>
        <w:t xml:space="preserve">ollowing a review of the Consultation responses, the Working Group </w:t>
      </w:r>
      <w:r w:rsidR="002249A0">
        <w:rPr>
          <w:color w:val="auto"/>
          <w:sz w:val="20"/>
          <w:szCs w:val="20"/>
        </w:rPr>
        <w:t xml:space="preserve">is proposing to progress </w:t>
      </w:r>
      <w:r w:rsidR="00745C95">
        <w:rPr>
          <w:color w:val="auto"/>
          <w:sz w:val="20"/>
          <w:szCs w:val="20"/>
        </w:rPr>
        <w:t>to t</w:t>
      </w:r>
      <w:r w:rsidR="002249A0">
        <w:rPr>
          <w:color w:val="auto"/>
          <w:sz w:val="20"/>
          <w:szCs w:val="20"/>
        </w:rPr>
        <w:t>he Change Report phase unless feedback would suggest otherwise.</w:t>
      </w:r>
      <w:r w:rsidR="00CA136E" w:rsidRPr="00737853">
        <w:rPr>
          <w:color w:val="auto"/>
          <w:sz w:val="20"/>
          <w:szCs w:val="20"/>
        </w:rPr>
        <w:t xml:space="preserve"> </w:t>
      </w:r>
    </w:p>
    <w:p w14:paraId="0A1D76F6" w14:textId="3382DE7E" w:rsidR="004C6117" w:rsidRPr="00EB32BB" w:rsidRDefault="004C6117" w:rsidP="00CA136E">
      <w:pPr>
        <w:pStyle w:val="Heading02"/>
        <w:keepNext w:val="0"/>
        <w:numPr>
          <w:ilvl w:val="0"/>
          <w:numId w:val="14"/>
        </w:numPr>
      </w:pPr>
      <w:bookmarkStart w:id="10" w:name="_Toc492567085"/>
      <w:r w:rsidRPr="00EB32BB">
        <w:t>Why Change?</w:t>
      </w:r>
      <w:bookmarkEnd w:id="8"/>
      <w:bookmarkEnd w:id="9"/>
      <w:bookmarkEnd w:id="10"/>
    </w:p>
    <w:p w14:paraId="276983AD" w14:textId="77777777" w:rsidR="00A13762" w:rsidRDefault="00D63847" w:rsidP="0012717A">
      <w:pPr>
        <w:pStyle w:val="Heading4"/>
        <w:keepNext w:val="0"/>
        <w:keepLines w:val="0"/>
        <w:spacing w:before="240"/>
        <w:rPr>
          <w:rFonts w:ascii="Arial" w:eastAsia="Times New Roman" w:hAnsi="Arial" w:cs="Arial"/>
          <w:i w:val="0"/>
          <w:iCs w:val="0"/>
          <w:color w:val="008576"/>
          <w:sz w:val="24"/>
          <w:szCs w:val="28"/>
        </w:rPr>
      </w:pPr>
      <w:r>
        <w:rPr>
          <w:rFonts w:ascii="Arial" w:eastAsia="Times New Roman" w:hAnsi="Arial" w:cs="Arial"/>
          <w:i w:val="0"/>
          <w:iCs w:val="0"/>
          <w:color w:val="008576"/>
          <w:sz w:val="24"/>
          <w:szCs w:val="28"/>
        </w:rPr>
        <w:t xml:space="preserve">Background of DCP </w:t>
      </w:r>
      <w:r w:rsidR="00D3651A">
        <w:rPr>
          <w:rFonts w:ascii="Arial" w:eastAsia="Times New Roman" w:hAnsi="Arial" w:cs="Arial"/>
          <w:i w:val="0"/>
          <w:iCs w:val="0"/>
          <w:color w:val="008576"/>
          <w:sz w:val="24"/>
          <w:szCs w:val="28"/>
        </w:rPr>
        <w:t>306</w:t>
      </w:r>
    </w:p>
    <w:p w14:paraId="15ED4231" w14:textId="22609FBE" w:rsidR="007D49BC" w:rsidRDefault="00113A6E" w:rsidP="00113A6E">
      <w:pPr>
        <w:pStyle w:val="Heading2"/>
        <w:numPr>
          <w:ilvl w:val="1"/>
          <w:numId w:val="14"/>
        </w:numPr>
        <w:spacing w:before="240" w:after="60" w:line="360" w:lineRule="auto"/>
        <w:jc w:val="both"/>
        <w:rPr>
          <w:color w:val="auto"/>
          <w:sz w:val="20"/>
          <w:szCs w:val="20"/>
        </w:rPr>
      </w:pPr>
      <w:r>
        <w:rPr>
          <w:color w:val="auto"/>
          <w:sz w:val="20"/>
          <w:szCs w:val="20"/>
        </w:rPr>
        <w:t>The Proposer suggests that</w:t>
      </w:r>
      <w:r w:rsidR="00651C5F">
        <w:rPr>
          <w:color w:val="auto"/>
          <w:sz w:val="20"/>
          <w:szCs w:val="20"/>
        </w:rPr>
        <w:t xml:space="preserve"> the costs associated with the Ofgem licence fee are payable by all LDNOs but the derivation of the LDNO tariffs does not fully include this cost. Consequently, it is believed that LDNOs are not able to fully recover the costs incurred, or reasonably expected to be incurred in operating their distribution businesses.</w:t>
      </w:r>
    </w:p>
    <w:p w14:paraId="4A110A12" w14:textId="651BFC09" w:rsidR="00651C5F" w:rsidRDefault="00651C5F" w:rsidP="00113A6E">
      <w:pPr>
        <w:pStyle w:val="ListParagraph"/>
        <w:numPr>
          <w:ilvl w:val="1"/>
          <w:numId w:val="14"/>
        </w:numPr>
        <w:jc w:val="both"/>
      </w:pPr>
      <w:r>
        <w:t xml:space="preserve">As the </w:t>
      </w:r>
      <w:proofErr w:type="spellStart"/>
      <w:r>
        <w:t>Opex</w:t>
      </w:r>
      <w:proofErr w:type="spellEnd"/>
      <w:r>
        <w:t xml:space="preserve"> cost allocation driver does not </w:t>
      </w:r>
      <w:proofErr w:type="gramStart"/>
      <w:r>
        <w:t>take into account</w:t>
      </w:r>
      <w:proofErr w:type="gramEnd"/>
      <w:r>
        <w:t xml:space="preserve"> the Ofgem licence fee, the costs associated with the Ofgem licence fee are effectively smeared across all network levels. The resultant LDNO tariffs are not, therefore, reflective of the </w:t>
      </w:r>
      <w:r w:rsidR="003F1C1E">
        <w:t>costs incurred by the L</w:t>
      </w:r>
      <w:r>
        <w:t>DNO.</w:t>
      </w:r>
    </w:p>
    <w:p w14:paraId="0ABC3E31" w14:textId="4D765310" w:rsidR="00651C5F" w:rsidRDefault="00651C5F" w:rsidP="00113A6E">
      <w:pPr>
        <w:pStyle w:val="ListParagraph"/>
        <w:numPr>
          <w:ilvl w:val="1"/>
          <w:numId w:val="14"/>
        </w:numPr>
        <w:jc w:val="both"/>
      </w:pPr>
      <w:r>
        <w:t xml:space="preserve">This change proposal seeks to ensure that the LDNO tariffs better reflect the costs that are avoided by the DNO when customers are connected to their network via another </w:t>
      </w:r>
      <w:r w:rsidR="003F1C1E">
        <w:t>LDNO</w:t>
      </w:r>
      <w:r>
        <w:t xml:space="preserve">. </w:t>
      </w:r>
    </w:p>
    <w:p w14:paraId="72AA959F" w14:textId="4D8F9DAD" w:rsidR="00651C5F" w:rsidRDefault="00113A6E" w:rsidP="00113A6E">
      <w:pPr>
        <w:pStyle w:val="ListParagraph"/>
        <w:numPr>
          <w:ilvl w:val="1"/>
          <w:numId w:val="14"/>
        </w:numPr>
        <w:jc w:val="both"/>
      </w:pPr>
      <w:r>
        <w:t>The proposer suggests that b</w:t>
      </w:r>
      <w:r w:rsidR="00651C5F">
        <w:t>y allocating the Ofgem licence fee to th</w:t>
      </w:r>
      <w:r w:rsidR="003F1C1E">
        <w:t>e LV</w:t>
      </w:r>
      <w:r w:rsidR="00651C5F">
        <w:t xml:space="preserve"> services network level, the LDNO tariffs produced by the C</w:t>
      </w:r>
      <w:r w:rsidR="007E22A9">
        <w:t xml:space="preserve">ommon </w:t>
      </w:r>
      <w:r w:rsidR="00651C5F">
        <w:t>D</w:t>
      </w:r>
      <w:r w:rsidR="007E22A9">
        <w:t xml:space="preserve">istribution </w:t>
      </w:r>
      <w:r w:rsidR="00651C5F">
        <w:t>C</w:t>
      </w:r>
      <w:r w:rsidR="007E22A9">
        <w:t xml:space="preserve">harging </w:t>
      </w:r>
      <w:r w:rsidR="00651C5F">
        <w:t>M</w:t>
      </w:r>
      <w:r w:rsidR="007E22A9">
        <w:t>ethodology (CDCM)</w:t>
      </w:r>
      <w:r w:rsidR="00651C5F">
        <w:t xml:space="preserve"> will better reflect the mechanism by which these costs are incurred. This is consistent with the purpose of the PCDM and DCUSA Charging Objective 3.</w:t>
      </w:r>
    </w:p>
    <w:p w14:paraId="0DEF0648" w14:textId="77777777" w:rsidR="00651C5F" w:rsidRDefault="00651C5F" w:rsidP="00651C5F">
      <w:pPr>
        <w:pStyle w:val="ListParagraph"/>
        <w:ind w:left="576"/>
      </w:pPr>
    </w:p>
    <w:p w14:paraId="651B7123" w14:textId="77777777" w:rsidR="009D28E8" w:rsidRPr="00B52063" w:rsidRDefault="009D28E8" w:rsidP="009D28E8">
      <w:pPr>
        <w:pStyle w:val="Heading02"/>
        <w:numPr>
          <w:ilvl w:val="0"/>
          <w:numId w:val="14"/>
        </w:numPr>
      </w:pPr>
      <w:bookmarkStart w:id="11" w:name="_Toc492567086"/>
      <w:r>
        <w:t>Code Specific Matter</w:t>
      </w:r>
      <w:r w:rsidR="00345728">
        <w:t>s</w:t>
      </w:r>
      <w:bookmarkEnd w:id="11"/>
    </w:p>
    <w:p w14:paraId="68D02ED8" w14:textId="77777777" w:rsidR="009D28E8" w:rsidRDefault="009D28E8" w:rsidP="009D28E8">
      <w:pPr>
        <w:pStyle w:val="Heading4"/>
        <w:keepNext w:val="0"/>
        <w:keepLines w:val="0"/>
        <w:spacing w:before="240"/>
        <w:rPr>
          <w:rFonts w:ascii="Arial" w:eastAsia="Times New Roman" w:hAnsi="Arial" w:cs="Arial"/>
          <w:i w:val="0"/>
          <w:iCs w:val="0"/>
          <w:color w:val="008576"/>
          <w:sz w:val="24"/>
          <w:szCs w:val="28"/>
        </w:rPr>
      </w:pPr>
      <w:r>
        <w:rPr>
          <w:rFonts w:ascii="Arial" w:eastAsia="Times New Roman" w:hAnsi="Arial" w:cs="Arial"/>
          <w:i w:val="0"/>
          <w:iCs w:val="0"/>
          <w:color w:val="008576"/>
          <w:sz w:val="24"/>
          <w:szCs w:val="28"/>
        </w:rPr>
        <w:t>Reference Documents</w:t>
      </w:r>
    </w:p>
    <w:p w14:paraId="15A1FA39" w14:textId="77777777" w:rsidR="007D49BC" w:rsidRDefault="00651C5F" w:rsidP="007D49BC">
      <w:pPr>
        <w:pStyle w:val="ListParagraph"/>
        <w:numPr>
          <w:ilvl w:val="1"/>
          <w:numId w:val="14"/>
        </w:numPr>
      </w:pPr>
      <w:r>
        <w:t>None</w:t>
      </w:r>
    </w:p>
    <w:p w14:paraId="020929D0" w14:textId="77777777" w:rsidR="00B52063" w:rsidRPr="00B52063" w:rsidRDefault="0007537E" w:rsidP="00CB2A38">
      <w:pPr>
        <w:pStyle w:val="Heading02"/>
        <w:numPr>
          <w:ilvl w:val="0"/>
          <w:numId w:val="14"/>
        </w:numPr>
      </w:pPr>
      <w:bookmarkStart w:id="12" w:name="_Toc492567087"/>
      <w:r>
        <w:t>Working Group Assessment</w:t>
      </w:r>
      <w:bookmarkEnd w:id="12"/>
      <w:r>
        <w:t xml:space="preserve"> </w:t>
      </w:r>
    </w:p>
    <w:p w14:paraId="3495C085" w14:textId="77777777" w:rsidR="0012717A" w:rsidRDefault="00335479" w:rsidP="0012717A">
      <w:pPr>
        <w:pStyle w:val="Heading4"/>
        <w:keepNext w:val="0"/>
        <w:keepLines w:val="0"/>
        <w:spacing w:before="240"/>
        <w:rPr>
          <w:rFonts w:ascii="Arial" w:eastAsia="Times New Roman" w:hAnsi="Arial" w:cs="Arial"/>
          <w:i w:val="0"/>
          <w:iCs w:val="0"/>
          <w:color w:val="008576"/>
          <w:sz w:val="24"/>
          <w:szCs w:val="28"/>
        </w:rPr>
      </w:pPr>
      <w:bookmarkStart w:id="13" w:name="_Toc318962139"/>
      <w:r>
        <w:rPr>
          <w:rFonts w:ascii="Arial" w:eastAsia="Times New Roman" w:hAnsi="Arial" w:cs="Arial"/>
          <w:i w:val="0"/>
          <w:iCs w:val="0"/>
          <w:color w:val="008576"/>
          <w:sz w:val="24"/>
          <w:szCs w:val="28"/>
        </w:rPr>
        <w:t xml:space="preserve">DCP </w:t>
      </w:r>
      <w:r w:rsidR="00D3651A">
        <w:rPr>
          <w:rFonts w:ascii="Arial" w:eastAsia="Times New Roman" w:hAnsi="Arial" w:cs="Arial"/>
          <w:i w:val="0"/>
          <w:iCs w:val="0"/>
          <w:color w:val="008576"/>
          <w:sz w:val="24"/>
          <w:szCs w:val="28"/>
        </w:rPr>
        <w:t>306</w:t>
      </w:r>
      <w:r w:rsidR="00392156">
        <w:rPr>
          <w:rFonts w:ascii="Arial" w:eastAsia="Times New Roman" w:hAnsi="Arial" w:cs="Arial"/>
          <w:i w:val="0"/>
          <w:iCs w:val="0"/>
          <w:color w:val="008576"/>
          <w:sz w:val="24"/>
          <w:szCs w:val="28"/>
        </w:rPr>
        <w:t xml:space="preserve"> </w:t>
      </w:r>
      <w:r w:rsidR="0012717A">
        <w:rPr>
          <w:rFonts w:ascii="Arial" w:eastAsia="Times New Roman" w:hAnsi="Arial" w:cs="Arial"/>
          <w:i w:val="0"/>
          <w:iCs w:val="0"/>
          <w:color w:val="008576"/>
          <w:sz w:val="24"/>
          <w:szCs w:val="28"/>
        </w:rPr>
        <w:t>Working Group Assessment</w:t>
      </w:r>
    </w:p>
    <w:p w14:paraId="70076B62" w14:textId="54866A20" w:rsidR="004E5B3F" w:rsidRDefault="0012717A" w:rsidP="00113A6E">
      <w:pPr>
        <w:pStyle w:val="Heading2"/>
        <w:keepNext w:val="0"/>
        <w:numPr>
          <w:ilvl w:val="1"/>
          <w:numId w:val="14"/>
        </w:numPr>
        <w:spacing w:before="240" w:after="60" w:line="360" w:lineRule="auto"/>
        <w:jc w:val="both"/>
        <w:rPr>
          <w:color w:val="auto"/>
          <w:sz w:val="20"/>
          <w:szCs w:val="20"/>
        </w:rPr>
      </w:pPr>
      <w:r w:rsidRPr="00832598">
        <w:rPr>
          <w:color w:val="auto"/>
          <w:sz w:val="20"/>
          <w:szCs w:val="20"/>
        </w:rPr>
        <w:lastRenderedPageBreak/>
        <w:t>The DCUSA Panel established a</w:t>
      </w:r>
      <w:r w:rsidR="00651C5F">
        <w:rPr>
          <w:color w:val="auto"/>
          <w:sz w:val="20"/>
          <w:szCs w:val="20"/>
        </w:rPr>
        <w:t xml:space="preserve"> Working Group to assess DCP 306</w:t>
      </w:r>
      <w:r w:rsidRPr="00832598">
        <w:rPr>
          <w:color w:val="auto"/>
          <w:sz w:val="20"/>
          <w:szCs w:val="20"/>
        </w:rPr>
        <w:t xml:space="preserve">. This Working Group consists </w:t>
      </w:r>
      <w:r w:rsidR="009B449F">
        <w:rPr>
          <w:color w:val="auto"/>
          <w:sz w:val="20"/>
          <w:szCs w:val="20"/>
        </w:rPr>
        <w:t>of D</w:t>
      </w:r>
      <w:r w:rsidR="007E22A9">
        <w:rPr>
          <w:color w:val="auto"/>
          <w:sz w:val="20"/>
          <w:szCs w:val="20"/>
        </w:rPr>
        <w:t xml:space="preserve">istribution </w:t>
      </w:r>
      <w:r w:rsidR="009B449F">
        <w:rPr>
          <w:color w:val="auto"/>
          <w:sz w:val="20"/>
          <w:szCs w:val="20"/>
        </w:rPr>
        <w:t>N</w:t>
      </w:r>
      <w:r w:rsidR="007E22A9">
        <w:rPr>
          <w:color w:val="auto"/>
          <w:sz w:val="20"/>
          <w:szCs w:val="20"/>
        </w:rPr>
        <w:t xml:space="preserve">etwork </w:t>
      </w:r>
      <w:r w:rsidR="009B449F">
        <w:rPr>
          <w:color w:val="auto"/>
          <w:sz w:val="20"/>
          <w:szCs w:val="20"/>
        </w:rPr>
        <w:t>O</w:t>
      </w:r>
      <w:r w:rsidR="007E22A9">
        <w:rPr>
          <w:color w:val="auto"/>
          <w:sz w:val="20"/>
          <w:szCs w:val="20"/>
        </w:rPr>
        <w:t>perator (DNO)</w:t>
      </w:r>
      <w:r w:rsidR="00651C5F">
        <w:rPr>
          <w:color w:val="auto"/>
          <w:sz w:val="20"/>
          <w:szCs w:val="20"/>
        </w:rPr>
        <w:t xml:space="preserve"> and I</w:t>
      </w:r>
      <w:r w:rsidR="007E22A9">
        <w:rPr>
          <w:color w:val="auto"/>
          <w:sz w:val="20"/>
          <w:szCs w:val="20"/>
        </w:rPr>
        <w:t xml:space="preserve">ndependent </w:t>
      </w:r>
      <w:r w:rsidR="00651C5F">
        <w:rPr>
          <w:color w:val="auto"/>
          <w:sz w:val="20"/>
          <w:szCs w:val="20"/>
        </w:rPr>
        <w:t>D</w:t>
      </w:r>
      <w:r w:rsidR="007E22A9">
        <w:rPr>
          <w:color w:val="auto"/>
          <w:sz w:val="20"/>
          <w:szCs w:val="20"/>
        </w:rPr>
        <w:t xml:space="preserve">istribution </w:t>
      </w:r>
      <w:r w:rsidR="00651C5F">
        <w:rPr>
          <w:color w:val="auto"/>
          <w:sz w:val="20"/>
          <w:szCs w:val="20"/>
        </w:rPr>
        <w:t>N</w:t>
      </w:r>
      <w:r w:rsidR="007E22A9">
        <w:rPr>
          <w:color w:val="auto"/>
          <w:sz w:val="20"/>
          <w:szCs w:val="20"/>
        </w:rPr>
        <w:t xml:space="preserve">etwork </w:t>
      </w:r>
      <w:r w:rsidR="00651C5F">
        <w:rPr>
          <w:color w:val="auto"/>
          <w:sz w:val="20"/>
          <w:szCs w:val="20"/>
        </w:rPr>
        <w:t>O</w:t>
      </w:r>
      <w:r w:rsidR="007E22A9">
        <w:rPr>
          <w:color w:val="auto"/>
          <w:sz w:val="20"/>
          <w:szCs w:val="20"/>
        </w:rPr>
        <w:t>perator (IDNO)</w:t>
      </w:r>
      <w:r w:rsidR="009B449F">
        <w:rPr>
          <w:color w:val="auto"/>
          <w:sz w:val="20"/>
          <w:szCs w:val="20"/>
        </w:rPr>
        <w:t xml:space="preserve"> representatives and an </w:t>
      </w:r>
      <w:r w:rsidRPr="00BD22CE">
        <w:rPr>
          <w:color w:val="auto"/>
          <w:sz w:val="20"/>
          <w:szCs w:val="20"/>
        </w:rPr>
        <w:t xml:space="preserve">Ofgem </w:t>
      </w:r>
      <w:r w:rsidR="009B449F">
        <w:rPr>
          <w:color w:val="auto"/>
          <w:sz w:val="20"/>
          <w:szCs w:val="20"/>
        </w:rPr>
        <w:t>observer</w:t>
      </w:r>
      <w:r>
        <w:rPr>
          <w:color w:val="auto"/>
          <w:sz w:val="20"/>
          <w:szCs w:val="20"/>
        </w:rPr>
        <w:t xml:space="preserve">. </w:t>
      </w:r>
      <w:r w:rsidRPr="00832598">
        <w:rPr>
          <w:color w:val="auto"/>
          <w:sz w:val="20"/>
          <w:szCs w:val="20"/>
        </w:rPr>
        <w:t xml:space="preserve">Meetings were held in open session and the minutes and papers of each meeting are available on the DCUSA website – </w:t>
      </w:r>
      <w:hyperlink r:id="rId21" w:history="1">
        <w:r w:rsidRPr="00832598">
          <w:rPr>
            <w:color w:val="auto"/>
            <w:sz w:val="20"/>
            <w:szCs w:val="20"/>
          </w:rPr>
          <w:t>www.dcusa.co.uk</w:t>
        </w:r>
      </w:hyperlink>
      <w:r w:rsidRPr="00832598">
        <w:rPr>
          <w:color w:val="auto"/>
          <w:sz w:val="20"/>
          <w:szCs w:val="20"/>
        </w:rPr>
        <w:t>.</w:t>
      </w:r>
    </w:p>
    <w:p w14:paraId="67AF80DD" w14:textId="01FB1116" w:rsidR="005C20E9" w:rsidRDefault="005C20E9" w:rsidP="00DD4698">
      <w:pPr>
        <w:pStyle w:val="ListParagraph"/>
        <w:numPr>
          <w:ilvl w:val="1"/>
          <w:numId w:val="14"/>
        </w:numPr>
        <w:jc w:val="both"/>
      </w:pPr>
      <w:r>
        <w:t>The rationale for this</w:t>
      </w:r>
      <w:r w:rsidR="003F1C1E">
        <w:t xml:space="preserve"> CP being raised is because currently</w:t>
      </w:r>
      <w:r w:rsidR="00FE4C2F">
        <w:t xml:space="preserve"> the</w:t>
      </w:r>
      <w:r w:rsidR="003F1C1E">
        <w:t xml:space="preserve"> Ofgem licence fees</w:t>
      </w:r>
      <w:r w:rsidR="00E26639">
        <w:t xml:space="preserve"> form part of residual charges </w:t>
      </w:r>
      <w:r w:rsidR="007E22A9">
        <w:t xml:space="preserve">when calculating the </w:t>
      </w:r>
      <w:r w:rsidR="005373FB">
        <w:t>CDCM tariffs</w:t>
      </w:r>
      <w:r w:rsidR="00DD4698">
        <w:t xml:space="preserve"> and as such is not a separate cost element within the PCDM</w:t>
      </w:r>
      <w:r w:rsidR="003F1C1E">
        <w:t xml:space="preserve">. This change will be looking to review the impacts of changing this </w:t>
      </w:r>
      <w:r w:rsidR="007E22A9">
        <w:t xml:space="preserve">i.e. allocating the </w:t>
      </w:r>
      <w:r w:rsidR="00FE4C2F">
        <w:t xml:space="preserve">licence </w:t>
      </w:r>
      <w:r w:rsidR="007E22A9">
        <w:t xml:space="preserve">fee either by, as the Proposer suggest, a </w:t>
      </w:r>
      <w:r w:rsidR="003F1C1E">
        <w:t xml:space="preserve">100% </w:t>
      </w:r>
      <w:r w:rsidR="007E22A9">
        <w:t xml:space="preserve">allocation </w:t>
      </w:r>
      <w:r w:rsidR="003F1C1E">
        <w:t xml:space="preserve">to </w:t>
      </w:r>
      <w:r w:rsidR="007E22A9">
        <w:t xml:space="preserve">the </w:t>
      </w:r>
      <w:r w:rsidR="003F1C1E">
        <w:t>LV service level</w:t>
      </w:r>
      <w:r w:rsidR="007E22A9">
        <w:t xml:space="preserve"> or alternatively allocated across each voltage level</w:t>
      </w:r>
      <w:r w:rsidR="00FE4C2F">
        <w:t xml:space="preserve"> within the PDCM</w:t>
      </w:r>
      <w:r w:rsidR="003F1C1E">
        <w:t xml:space="preserve">. </w:t>
      </w:r>
      <w:r w:rsidR="007E22A9">
        <w:t xml:space="preserve"> A</w:t>
      </w:r>
      <w:r w:rsidR="003F1C1E">
        <w:t xml:space="preserve">ll other aspects of </w:t>
      </w:r>
      <w:proofErr w:type="spellStart"/>
      <w:r w:rsidR="003F1C1E">
        <w:t>Opex</w:t>
      </w:r>
      <w:proofErr w:type="spellEnd"/>
      <w:r w:rsidR="003F1C1E">
        <w:t xml:space="preserve"> would be unchanged.</w:t>
      </w:r>
    </w:p>
    <w:p w14:paraId="499E3D2D" w14:textId="05820DBA" w:rsidR="007E22A9" w:rsidRDefault="007E22A9" w:rsidP="00113A6E">
      <w:pPr>
        <w:pStyle w:val="ListParagraph"/>
        <w:numPr>
          <w:ilvl w:val="1"/>
          <w:numId w:val="14"/>
        </w:numPr>
        <w:jc w:val="both"/>
      </w:pPr>
      <w:r>
        <w:t xml:space="preserve">The Working Group considered how the </w:t>
      </w:r>
      <w:r w:rsidR="00FE4C2F">
        <w:t xml:space="preserve">licence fee </w:t>
      </w:r>
      <w:r>
        <w:t>is currently derived and then subsequently allocated with the CDCM.  It was determined that Ofgem charge each DNO a licence fee on a £/MPAN basis. This is then recovered as part of the residual charging calculation when deriving the all the way tariffs in the CDCM.</w:t>
      </w:r>
      <w:r w:rsidR="001D42E7">
        <w:t xml:space="preserve"> </w:t>
      </w:r>
      <w:r>
        <w:t xml:space="preserve"> </w:t>
      </w:r>
      <w:r w:rsidR="001D42E7">
        <w:t xml:space="preserve">It was confirmed that since the change is in the PCDM there would be no impact on the all the way tariffs and as </w:t>
      </w:r>
      <w:r w:rsidR="00F3370F">
        <w:t>such no impact on end customers connected directly to the host DNO network, other than any resulting indirect impact on the recovery of the residual charge.</w:t>
      </w:r>
    </w:p>
    <w:p w14:paraId="70E3B1FB" w14:textId="3B955919" w:rsidR="001D42E7" w:rsidRDefault="001D42E7" w:rsidP="00DF268B">
      <w:pPr>
        <w:pStyle w:val="ListParagraph"/>
        <w:numPr>
          <w:ilvl w:val="1"/>
          <w:numId w:val="14"/>
        </w:numPr>
        <w:jc w:val="both"/>
      </w:pPr>
      <w:r>
        <w:t xml:space="preserve">The Working Group considered whether a more appropriate change would be to the CDCM by taking the </w:t>
      </w:r>
      <w:r w:rsidR="00745C95">
        <w:t xml:space="preserve">licence </w:t>
      </w:r>
      <w:r>
        <w:t xml:space="preserve">fee out of residual charges and within the methodology itself. This was discounted since it would not align with the intent. </w:t>
      </w:r>
    </w:p>
    <w:p w14:paraId="30F7941A" w14:textId="12D5001B" w:rsidR="00DF268B" w:rsidRDefault="00DF268B" w:rsidP="00DF268B">
      <w:pPr>
        <w:pStyle w:val="ListParagraph"/>
        <w:numPr>
          <w:ilvl w:val="1"/>
          <w:numId w:val="14"/>
        </w:numPr>
        <w:jc w:val="both"/>
      </w:pPr>
      <w:r>
        <w:t xml:space="preserve">The timing of the change was questioned as, on 4 August </w:t>
      </w:r>
      <w:r w:rsidR="00F3370F">
        <w:t xml:space="preserve">2017 </w:t>
      </w:r>
      <w:r>
        <w:t xml:space="preserve">Ofgem launched a Targeted Charging Review </w:t>
      </w:r>
      <w:r w:rsidR="00F3370F">
        <w:t xml:space="preserve">(TCR) </w:t>
      </w:r>
      <w:r>
        <w:t xml:space="preserve">Significant Code Review (SCR). One of the key areas within </w:t>
      </w:r>
      <w:r w:rsidR="00F3370F">
        <w:t>the TCR</w:t>
      </w:r>
      <w:r>
        <w:t xml:space="preserve"> covers residual charging. It was discussed whether it would be more practicable to progress the proposed ch</w:t>
      </w:r>
      <w:r w:rsidR="00C270FE">
        <w:t>ange as part of the wider CDCM review or as part of the T</w:t>
      </w:r>
      <w:r>
        <w:t>CR.</w:t>
      </w:r>
    </w:p>
    <w:p w14:paraId="460FA430" w14:textId="3F923A77" w:rsidR="00DF268B" w:rsidRDefault="00DF268B" w:rsidP="00DF268B">
      <w:pPr>
        <w:pStyle w:val="ListParagraph"/>
        <w:numPr>
          <w:ilvl w:val="1"/>
          <w:numId w:val="14"/>
        </w:numPr>
        <w:jc w:val="both"/>
      </w:pPr>
      <w:r>
        <w:t xml:space="preserve">It was decided that as the change is specifically looking at the PCDM, the Working Group would not be able to include CDCM or EHV Distribution Charging Model (EDCM) amendments in their solutions as it would change the intent of the proposal. Therefore, there </w:t>
      </w:r>
      <w:r w:rsidR="00C270FE">
        <w:t>shouldn’t be any impact on the T</w:t>
      </w:r>
      <w:r>
        <w:t xml:space="preserve">CR. </w:t>
      </w:r>
    </w:p>
    <w:p w14:paraId="30565D13" w14:textId="5CD3166A" w:rsidR="00393BC8" w:rsidRDefault="001D42E7" w:rsidP="00113A6E">
      <w:pPr>
        <w:pStyle w:val="ListParagraph"/>
        <w:numPr>
          <w:ilvl w:val="1"/>
          <w:numId w:val="14"/>
        </w:numPr>
        <w:jc w:val="both"/>
      </w:pPr>
      <w:r>
        <w:t>The Working Group then considered whether the allocation within the PCDM should only be applied to the LV network level and whether it may be</w:t>
      </w:r>
      <w:r w:rsidR="006A395F">
        <w:t xml:space="preserve"> even</w:t>
      </w:r>
      <w:r>
        <w:t xml:space="preserve"> more cost reflective if the allocation of the </w:t>
      </w:r>
      <w:r w:rsidR="00DD4698">
        <w:t xml:space="preserve">licence </w:t>
      </w:r>
      <w:r>
        <w:t>fee was placed against each network level</w:t>
      </w:r>
      <w:r w:rsidR="00DF268B">
        <w:t xml:space="preserve">. The </w:t>
      </w:r>
      <w:r w:rsidR="00DD4698">
        <w:t xml:space="preserve">Working Group agreed to seek the </w:t>
      </w:r>
      <w:r w:rsidR="00DF268B">
        <w:t xml:space="preserve">views of </w:t>
      </w:r>
      <w:r w:rsidR="00DD4698">
        <w:t>P</w:t>
      </w:r>
      <w:r w:rsidR="00DF268B">
        <w:t xml:space="preserve">arties </w:t>
      </w:r>
      <w:r w:rsidR="00DD4698">
        <w:t xml:space="preserve">on this matter to </w:t>
      </w:r>
      <w:r w:rsidR="00DF268B">
        <w:t>define the solution</w:t>
      </w:r>
      <w:r w:rsidR="00DD4698">
        <w:t>.</w:t>
      </w:r>
      <w:r w:rsidR="00745C95">
        <w:t xml:space="preserve"> </w:t>
      </w:r>
    </w:p>
    <w:p w14:paraId="60AAE732" w14:textId="0F95F5DA" w:rsidR="002F0D77" w:rsidRDefault="00BD4335" w:rsidP="00635FC4">
      <w:pPr>
        <w:pStyle w:val="ListParagraph"/>
        <w:numPr>
          <w:ilvl w:val="1"/>
          <w:numId w:val="14"/>
        </w:numPr>
        <w:jc w:val="both"/>
      </w:pPr>
      <w:r>
        <w:t>The Proposer is suggesting that the c</w:t>
      </w:r>
      <w:r w:rsidRPr="00BD4335">
        <w:t>osts described in table 2.6 of the 2007/2008 R</w:t>
      </w:r>
      <w:r w:rsidR="00635FC4">
        <w:t xml:space="preserve">egulatory </w:t>
      </w:r>
      <w:r w:rsidRPr="00BD4335">
        <w:t>R</w:t>
      </w:r>
      <w:r w:rsidR="00635FC4">
        <w:t xml:space="preserve">eporting </w:t>
      </w:r>
      <w:r w:rsidRPr="00BD4335">
        <w:t>P</w:t>
      </w:r>
      <w:r w:rsidR="00635FC4">
        <w:t>ack (RRP)</w:t>
      </w:r>
      <w:r w:rsidRPr="00BD4335">
        <w:t xml:space="preserve"> as “Ofgem licence fees” </w:t>
      </w:r>
      <w:r>
        <w:t xml:space="preserve">be used. The reasoning for this is that it matches the rest of the data source being used within the PDCM. A counter argument was that it may be more cost reflect to use the latest </w:t>
      </w:r>
      <w:r w:rsidR="00DD4698">
        <w:t xml:space="preserve">licence fee </w:t>
      </w:r>
      <w:r>
        <w:t xml:space="preserve">costs rather than the ones that are </w:t>
      </w:r>
      <w:r w:rsidR="00635FC4">
        <w:t xml:space="preserve">ten years old. The Working Group were of the view that for consistency the 2007/2008 RRP should be used as it aligns with how the rest of the operational costs have been allocated within the PDCM. </w:t>
      </w:r>
    </w:p>
    <w:p w14:paraId="2893E20F" w14:textId="01AB9E45" w:rsidR="00DF268B" w:rsidRDefault="00DF268B" w:rsidP="00DF268B">
      <w:pPr>
        <w:pStyle w:val="ListParagraph"/>
        <w:numPr>
          <w:ilvl w:val="1"/>
          <w:numId w:val="14"/>
        </w:numPr>
        <w:jc w:val="both"/>
      </w:pPr>
      <w:r>
        <w:t>The Working Group sought industry views in the first consultation on:</w:t>
      </w:r>
    </w:p>
    <w:p w14:paraId="4E46B75B" w14:textId="61556530" w:rsidR="00DF268B" w:rsidRDefault="00C270FE" w:rsidP="00DF268B">
      <w:pPr>
        <w:pStyle w:val="ListParagraph"/>
        <w:numPr>
          <w:ilvl w:val="2"/>
          <w:numId w:val="14"/>
        </w:numPr>
        <w:ind w:left="1560" w:hanging="851"/>
        <w:jc w:val="both"/>
      </w:pPr>
      <w:r>
        <w:t>Whether the TCR or CDCM r</w:t>
      </w:r>
      <w:r w:rsidR="00DF268B">
        <w:t>eview work is a more appropriate work stream to review this issue;</w:t>
      </w:r>
    </w:p>
    <w:p w14:paraId="0FF567ED" w14:textId="2CF9C6C4" w:rsidR="00DF268B" w:rsidRDefault="001532A3" w:rsidP="00DF268B">
      <w:pPr>
        <w:pStyle w:val="ListParagraph"/>
        <w:numPr>
          <w:ilvl w:val="2"/>
          <w:numId w:val="14"/>
        </w:numPr>
        <w:ind w:left="1560" w:hanging="851"/>
        <w:jc w:val="both"/>
      </w:pPr>
      <w:r>
        <w:t>Is it</w:t>
      </w:r>
      <w:r w:rsidR="00DF268B">
        <w:t xml:space="preserve"> more appropriate to allocate the </w:t>
      </w:r>
      <w:r w:rsidR="00DD4698">
        <w:t xml:space="preserve">licence fee </w:t>
      </w:r>
      <w:r w:rsidR="00DF268B">
        <w:t xml:space="preserve">at each voltage level or just at the LV network level, and if so is the data on customer numbers at each voltage level easily identified.; and </w:t>
      </w:r>
    </w:p>
    <w:p w14:paraId="48A41B2A" w14:textId="2D566611" w:rsidR="00DF268B" w:rsidRDefault="00DF268B" w:rsidP="001532A3">
      <w:pPr>
        <w:pStyle w:val="ListParagraph"/>
        <w:numPr>
          <w:ilvl w:val="2"/>
          <w:numId w:val="14"/>
        </w:numPr>
        <w:ind w:left="1560" w:hanging="851"/>
        <w:jc w:val="both"/>
      </w:pPr>
      <w:r w:rsidRPr="001532A3">
        <w:rPr>
          <w:szCs w:val="20"/>
        </w:rPr>
        <w:lastRenderedPageBreak/>
        <w:t>Is the 2007/08 data the best data set to use or is there a better data source that could be utilised?</w:t>
      </w:r>
    </w:p>
    <w:p w14:paraId="58414258" w14:textId="1755B7FA" w:rsidR="008C4954" w:rsidRDefault="007A1530" w:rsidP="008C4954">
      <w:pPr>
        <w:rPr>
          <w:b/>
          <w:color w:val="339966"/>
          <w:sz w:val="24"/>
        </w:rPr>
      </w:pPr>
      <w:r>
        <w:rPr>
          <w:b/>
          <w:color w:val="339966"/>
          <w:sz w:val="24"/>
        </w:rPr>
        <w:t>First Consultation</w:t>
      </w:r>
    </w:p>
    <w:p w14:paraId="7168664F" w14:textId="5D78EA6A" w:rsidR="00E221D1" w:rsidRDefault="007A1530" w:rsidP="00E221D1">
      <w:pPr>
        <w:pStyle w:val="ListParagraph"/>
        <w:numPr>
          <w:ilvl w:val="1"/>
          <w:numId w:val="14"/>
        </w:numPr>
        <w:rPr>
          <w:szCs w:val="20"/>
        </w:rPr>
      </w:pPr>
      <w:r w:rsidRPr="007A1530">
        <w:rPr>
          <w:szCs w:val="20"/>
        </w:rPr>
        <w:t>To aid the further develop</w:t>
      </w:r>
      <w:r w:rsidR="00711658">
        <w:rPr>
          <w:szCs w:val="20"/>
        </w:rPr>
        <w:t xml:space="preserve">ment of the solution for </w:t>
      </w:r>
      <w:r w:rsidR="00DD4698">
        <w:rPr>
          <w:szCs w:val="20"/>
        </w:rPr>
        <w:t>this CP</w:t>
      </w:r>
      <w:r w:rsidRPr="007A1530">
        <w:rPr>
          <w:szCs w:val="20"/>
        </w:rPr>
        <w:t>, the Working Group issue</w:t>
      </w:r>
      <w:r w:rsidR="00711658">
        <w:rPr>
          <w:szCs w:val="20"/>
        </w:rPr>
        <w:t>d</w:t>
      </w:r>
      <w:r w:rsidRPr="007A1530">
        <w:rPr>
          <w:szCs w:val="20"/>
        </w:rPr>
        <w:t xml:space="preserve"> a consultation to Parties</w:t>
      </w:r>
      <w:r w:rsidR="00711658">
        <w:rPr>
          <w:szCs w:val="20"/>
        </w:rPr>
        <w:t xml:space="preserve"> on 18 September 2017</w:t>
      </w:r>
      <w:r w:rsidRPr="007A1530">
        <w:rPr>
          <w:szCs w:val="20"/>
        </w:rPr>
        <w:t>.</w:t>
      </w:r>
      <w:r w:rsidR="00711658">
        <w:rPr>
          <w:szCs w:val="20"/>
        </w:rPr>
        <w:t xml:space="preserve"> The aim of the first consultation was to ask the industry for their views on the principles of the change.</w:t>
      </w:r>
      <w:r w:rsidR="00FF48CF">
        <w:rPr>
          <w:szCs w:val="20"/>
        </w:rPr>
        <w:t xml:space="preserve"> </w:t>
      </w:r>
      <w:r w:rsidR="00E221D1">
        <w:rPr>
          <w:szCs w:val="20"/>
        </w:rPr>
        <w:t xml:space="preserve">There were six responses to the first consultation comprising of four DNOs and two IDNOs. </w:t>
      </w:r>
      <w:r w:rsidR="00FF48CF">
        <w:rPr>
          <w:szCs w:val="20"/>
        </w:rPr>
        <w:t>A</w:t>
      </w:r>
      <w:r w:rsidR="00172A66">
        <w:rPr>
          <w:szCs w:val="20"/>
        </w:rPr>
        <w:t xml:space="preserve"> copy of the first consultation as well as a</w:t>
      </w:r>
      <w:r w:rsidR="00FF48CF">
        <w:rPr>
          <w:szCs w:val="20"/>
        </w:rPr>
        <w:t xml:space="preserve"> summary of the consultation responses </w:t>
      </w:r>
      <w:r w:rsidR="000F2C8E">
        <w:rPr>
          <w:szCs w:val="20"/>
        </w:rPr>
        <w:t>and the Working Group conclusions</w:t>
      </w:r>
      <w:r w:rsidR="001532A3">
        <w:rPr>
          <w:szCs w:val="20"/>
        </w:rPr>
        <w:t xml:space="preserve"> </w:t>
      </w:r>
      <w:r w:rsidR="00FF48CF">
        <w:rPr>
          <w:szCs w:val="20"/>
        </w:rPr>
        <w:t xml:space="preserve">can be found as </w:t>
      </w:r>
      <w:r w:rsidR="00FF48CF" w:rsidRPr="00663388">
        <w:rPr>
          <w:szCs w:val="20"/>
        </w:rPr>
        <w:t xml:space="preserve">Attachment </w:t>
      </w:r>
      <w:r w:rsidR="009A1FC2" w:rsidRPr="00663388">
        <w:rPr>
          <w:szCs w:val="20"/>
        </w:rPr>
        <w:t>2</w:t>
      </w:r>
      <w:r w:rsidR="00FF48CF">
        <w:rPr>
          <w:szCs w:val="20"/>
        </w:rPr>
        <w:t>.</w:t>
      </w:r>
    </w:p>
    <w:p w14:paraId="04641999" w14:textId="79910BFE" w:rsidR="003A3EEB" w:rsidRDefault="00E87064" w:rsidP="00E221D1">
      <w:pPr>
        <w:pStyle w:val="ListParagraph"/>
        <w:numPr>
          <w:ilvl w:val="1"/>
          <w:numId w:val="14"/>
        </w:numPr>
        <w:rPr>
          <w:szCs w:val="20"/>
        </w:rPr>
      </w:pPr>
      <w:r>
        <w:rPr>
          <w:szCs w:val="20"/>
        </w:rPr>
        <w:t xml:space="preserve">All respondents agreed that they understood and agreed with the principles and intent of the change. However, one DNO respondent highlighted that they did not agree with how the </w:t>
      </w:r>
      <w:r w:rsidR="00214FF5">
        <w:rPr>
          <w:szCs w:val="20"/>
        </w:rPr>
        <w:t xml:space="preserve">Proposer </w:t>
      </w:r>
      <w:r>
        <w:rPr>
          <w:szCs w:val="20"/>
        </w:rPr>
        <w:t xml:space="preserve">suggests that the Ofgem </w:t>
      </w:r>
      <w:r w:rsidR="00214FF5">
        <w:rPr>
          <w:szCs w:val="20"/>
        </w:rPr>
        <w:t xml:space="preserve">licence fees </w:t>
      </w:r>
      <w:r>
        <w:rPr>
          <w:szCs w:val="20"/>
        </w:rPr>
        <w:t xml:space="preserve">for a DNO are determined by MPANs. The Working Group accepted the comments made by the DNO on how the costs are produced by Ofgem, however, the CP is looking at allocating the Ofgem </w:t>
      </w:r>
      <w:r w:rsidR="00214FF5">
        <w:rPr>
          <w:szCs w:val="20"/>
        </w:rPr>
        <w:t xml:space="preserve">licence fees </w:t>
      </w:r>
      <w:r>
        <w:rPr>
          <w:szCs w:val="20"/>
        </w:rPr>
        <w:t xml:space="preserve">on a £/MPAN basis which is moving from a fixed </w:t>
      </w:r>
      <w:r w:rsidR="003B65A6">
        <w:rPr>
          <w:szCs w:val="20"/>
        </w:rPr>
        <w:t>cost to unit cost method and is not a like for like for what currently happens.</w:t>
      </w:r>
      <w:r w:rsidR="00DA5836">
        <w:rPr>
          <w:szCs w:val="20"/>
        </w:rPr>
        <w:t xml:space="preserve"> Although the Working Group acknowledged the comments made by the respondents, they still wish to continue with the original principles of the change as they believe the solution will provide better cost reflectivity.</w:t>
      </w:r>
    </w:p>
    <w:p w14:paraId="4C861099" w14:textId="473B999F" w:rsidR="007F44BF" w:rsidRDefault="007F44BF" w:rsidP="00E221D1">
      <w:pPr>
        <w:pStyle w:val="ListParagraph"/>
        <w:numPr>
          <w:ilvl w:val="1"/>
          <w:numId w:val="14"/>
        </w:numPr>
        <w:rPr>
          <w:szCs w:val="20"/>
        </w:rPr>
      </w:pPr>
      <w:r>
        <w:rPr>
          <w:szCs w:val="20"/>
        </w:rPr>
        <w:t>Respondents to the first consultation highlighted that the Working Group would need to be cautious about the outputs from Ofgem’s Charging Future’s Fo</w:t>
      </w:r>
      <w:r w:rsidR="00C270FE">
        <w:rPr>
          <w:szCs w:val="20"/>
        </w:rPr>
        <w:t>rum (CFF) and their subsequent T</w:t>
      </w:r>
      <w:r>
        <w:rPr>
          <w:szCs w:val="20"/>
        </w:rPr>
        <w:t xml:space="preserve">ask </w:t>
      </w:r>
      <w:r w:rsidR="00C270FE">
        <w:rPr>
          <w:szCs w:val="20"/>
        </w:rPr>
        <w:t>F</w:t>
      </w:r>
      <w:r>
        <w:rPr>
          <w:szCs w:val="20"/>
        </w:rPr>
        <w:t>orces that have been organised. The Working Group recognise that the change is in the gift of the Proposer and unless directed otherwise by the Authority the CP will progress since the change impacts the PCDM and not the CDCM.</w:t>
      </w:r>
    </w:p>
    <w:p w14:paraId="519EA40D" w14:textId="7145C325" w:rsidR="00DA5836" w:rsidRDefault="00DA5836" w:rsidP="00E221D1">
      <w:pPr>
        <w:pStyle w:val="ListParagraph"/>
        <w:numPr>
          <w:ilvl w:val="1"/>
          <w:numId w:val="14"/>
        </w:numPr>
        <w:rPr>
          <w:szCs w:val="20"/>
        </w:rPr>
      </w:pPr>
      <w:r>
        <w:rPr>
          <w:szCs w:val="20"/>
        </w:rPr>
        <w:t xml:space="preserve">The first consultation also sought industry views on how the Ofgem </w:t>
      </w:r>
      <w:r w:rsidR="00214FF5">
        <w:rPr>
          <w:szCs w:val="20"/>
        </w:rPr>
        <w:t xml:space="preserve">licence fees </w:t>
      </w:r>
      <w:r>
        <w:rPr>
          <w:szCs w:val="20"/>
        </w:rPr>
        <w:t>sh</w:t>
      </w:r>
      <w:r w:rsidR="000A4B7C">
        <w:rPr>
          <w:szCs w:val="20"/>
        </w:rPr>
        <w:t xml:space="preserve">ould be allocated with the PCDM and whether it should be at LV voltage level or be allocated at each voltage level based on the number of customers connected at each. </w:t>
      </w:r>
      <w:proofErr w:type="gramStart"/>
      <w:r w:rsidR="005B31AC">
        <w:rPr>
          <w:szCs w:val="20"/>
        </w:rPr>
        <w:t>The majority of</w:t>
      </w:r>
      <w:proofErr w:type="gramEnd"/>
      <w:r w:rsidR="005B31AC">
        <w:rPr>
          <w:szCs w:val="20"/>
        </w:rPr>
        <w:t xml:space="preserve"> </w:t>
      </w:r>
      <w:r w:rsidR="002111BF">
        <w:rPr>
          <w:szCs w:val="20"/>
        </w:rPr>
        <w:t xml:space="preserve">Parties that responded to the consultation wanted to allocate the Ofgem </w:t>
      </w:r>
      <w:r w:rsidR="00214FF5">
        <w:rPr>
          <w:szCs w:val="20"/>
        </w:rPr>
        <w:t xml:space="preserve">licence fees </w:t>
      </w:r>
      <w:r w:rsidR="002111BF">
        <w:rPr>
          <w:szCs w:val="20"/>
        </w:rPr>
        <w:t>at various voltage levels</w:t>
      </w:r>
      <w:r w:rsidR="00214FF5">
        <w:rPr>
          <w:szCs w:val="20"/>
        </w:rPr>
        <w:t xml:space="preserve">. </w:t>
      </w:r>
    </w:p>
    <w:p w14:paraId="5906D5A4" w14:textId="15A6B3E8" w:rsidR="00E94870" w:rsidRDefault="00E94870" w:rsidP="007F44BF">
      <w:pPr>
        <w:pStyle w:val="ListParagraph"/>
        <w:ind w:left="576"/>
        <w:rPr>
          <w:szCs w:val="20"/>
        </w:rPr>
      </w:pPr>
    </w:p>
    <w:p w14:paraId="1FF5CC20" w14:textId="059C79B3" w:rsidR="0055653E" w:rsidRPr="00E221D1" w:rsidRDefault="007F44BF" w:rsidP="00E221D1">
      <w:pPr>
        <w:pStyle w:val="ListParagraph"/>
        <w:numPr>
          <w:ilvl w:val="1"/>
          <w:numId w:val="14"/>
        </w:numPr>
        <w:rPr>
          <w:szCs w:val="20"/>
        </w:rPr>
      </w:pPr>
      <w:r>
        <w:rPr>
          <w:szCs w:val="20"/>
        </w:rPr>
        <w:t>All respondents to the first consultation believed that the 2007/08 data set was the best data set to use for this change as it would be consistent with the rest of the PCDM. However, it was highlighted that the industry may need to consider a wider review in the future.</w:t>
      </w:r>
    </w:p>
    <w:p w14:paraId="5B4A4B02" w14:textId="6F3B9058" w:rsidR="00D630E4" w:rsidRPr="007F44BF" w:rsidRDefault="00214FF5" w:rsidP="00D630E4">
      <w:pPr>
        <w:rPr>
          <w:szCs w:val="20"/>
          <w:u w:val="single"/>
        </w:rPr>
      </w:pPr>
      <w:r w:rsidRPr="007F44BF">
        <w:rPr>
          <w:szCs w:val="20"/>
          <w:u w:val="single"/>
        </w:rPr>
        <w:t>Working Group Conclusions</w:t>
      </w:r>
      <w:r w:rsidR="00A85792">
        <w:rPr>
          <w:szCs w:val="20"/>
          <w:u w:val="single"/>
        </w:rPr>
        <w:t xml:space="preserve"> and next steps</w:t>
      </w:r>
    </w:p>
    <w:p w14:paraId="2B362E5A" w14:textId="057AEDD0" w:rsidR="00214FF5" w:rsidRDefault="00214FF5" w:rsidP="00214FF5">
      <w:pPr>
        <w:pStyle w:val="ListParagraph"/>
        <w:numPr>
          <w:ilvl w:val="1"/>
          <w:numId w:val="14"/>
        </w:numPr>
        <w:rPr>
          <w:szCs w:val="20"/>
        </w:rPr>
      </w:pPr>
      <w:r>
        <w:rPr>
          <w:szCs w:val="20"/>
        </w:rPr>
        <w:t xml:space="preserve">The Working Group identified </w:t>
      </w:r>
      <w:r w:rsidR="00E9544C">
        <w:rPr>
          <w:szCs w:val="20"/>
        </w:rPr>
        <w:t>t</w:t>
      </w:r>
      <w:r>
        <w:rPr>
          <w:szCs w:val="20"/>
        </w:rPr>
        <w:t>wo areas of further work having discussed the Parties</w:t>
      </w:r>
      <w:r w:rsidR="00E9544C">
        <w:rPr>
          <w:szCs w:val="20"/>
        </w:rPr>
        <w:t>’</w:t>
      </w:r>
      <w:r>
        <w:rPr>
          <w:szCs w:val="20"/>
        </w:rPr>
        <w:t xml:space="preserve"> response</w:t>
      </w:r>
      <w:r w:rsidR="00E9544C">
        <w:rPr>
          <w:szCs w:val="20"/>
        </w:rPr>
        <w:t>s</w:t>
      </w:r>
      <w:r>
        <w:rPr>
          <w:szCs w:val="20"/>
        </w:rPr>
        <w:t xml:space="preserve"> to the first </w:t>
      </w:r>
      <w:r w:rsidR="00A85792">
        <w:rPr>
          <w:szCs w:val="20"/>
        </w:rPr>
        <w:t xml:space="preserve">two items within the </w:t>
      </w:r>
      <w:r>
        <w:rPr>
          <w:szCs w:val="20"/>
        </w:rPr>
        <w:t>consultation</w:t>
      </w:r>
      <w:r w:rsidR="00A85792">
        <w:rPr>
          <w:szCs w:val="20"/>
        </w:rPr>
        <w:t xml:space="preserve"> identified under paragraph 5.9 above</w:t>
      </w:r>
      <w:r>
        <w:rPr>
          <w:szCs w:val="20"/>
        </w:rPr>
        <w:t>:</w:t>
      </w:r>
    </w:p>
    <w:p w14:paraId="530F4A86" w14:textId="4F513F08" w:rsidR="00A85792" w:rsidRDefault="00A85792" w:rsidP="00A85792">
      <w:pPr>
        <w:pStyle w:val="ListParagraph"/>
        <w:numPr>
          <w:ilvl w:val="2"/>
          <w:numId w:val="14"/>
        </w:numPr>
        <w:ind w:left="1418" w:hanging="851"/>
        <w:rPr>
          <w:szCs w:val="20"/>
        </w:rPr>
      </w:pPr>
      <w:r>
        <w:rPr>
          <w:szCs w:val="20"/>
        </w:rPr>
        <w:t>Review the papers submitted to the CFF which were distributed since the first consultation; and</w:t>
      </w:r>
    </w:p>
    <w:p w14:paraId="0881B383" w14:textId="38F4E3D3" w:rsidR="00214FF5" w:rsidRDefault="00E9544C" w:rsidP="00214FF5">
      <w:pPr>
        <w:pStyle w:val="ListParagraph"/>
        <w:numPr>
          <w:ilvl w:val="2"/>
          <w:numId w:val="14"/>
        </w:numPr>
        <w:ind w:left="1418" w:hanging="851"/>
        <w:rPr>
          <w:szCs w:val="20"/>
        </w:rPr>
      </w:pPr>
      <w:r>
        <w:rPr>
          <w:szCs w:val="20"/>
        </w:rPr>
        <w:t xml:space="preserve">Identify </w:t>
      </w:r>
      <w:r w:rsidR="00214FF5">
        <w:rPr>
          <w:szCs w:val="20"/>
        </w:rPr>
        <w:t xml:space="preserve">the number of customers at each voltage level </w:t>
      </w:r>
      <w:proofErr w:type="gramStart"/>
      <w:r>
        <w:rPr>
          <w:szCs w:val="20"/>
        </w:rPr>
        <w:t>in order to</w:t>
      </w:r>
      <w:proofErr w:type="gramEnd"/>
      <w:r>
        <w:rPr>
          <w:szCs w:val="20"/>
        </w:rPr>
        <w:t xml:space="preserve"> determine whether it is more appropriate to allocate the LV licence fee at each voltage level or just at t</w:t>
      </w:r>
      <w:r w:rsidR="00C270FE">
        <w:rPr>
          <w:szCs w:val="20"/>
        </w:rPr>
        <w:t>he LV network level.</w:t>
      </w:r>
    </w:p>
    <w:p w14:paraId="7F09CE82" w14:textId="0400C620" w:rsidR="00A85792" w:rsidRPr="00A85792" w:rsidRDefault="00A85792" w:rsidP="00E72845">
      <w:pPr>
        <w:pStyle w:val="ListParagraph"/>
        <w:numPr>
          <w:ilvl w:val="1"/>
          <w:numId w:val="14"/>
        </w:numPr>
        <w:rPr>
          <w:szCs w:val="20"/>
        </w:rPr>
      </w:pPr>
      <w:r>
        <w:rPr>
          <w:szCs w:val="20"/>
        </w:rPr>
        <w:t xml:space="preserve">The Working Group agreed with the Parties’ response to the third item in Para 5.9 above relating to the use of 2007/08 data. </w:t>
      </w:r>
    </w:p>
    <w:p w14:paraId="7C2E2187" w14:textId="56B26C99" w:rsidR="00A85792" w:rsidRDefault="00A85792" w:rsidP="00A85792">
      <w:pPr>
        <w:pStyle w:val="ListParagraph"/>
        <w:numPr>
          <w:ilvl w:val="1"/>
          <w:numId w:val="14"/>
        </w:numPr>
        <w:rPr>
          <w:szCs w:val="20"/>
        </w:rPr>
      </w:pPr>
      <w:r>
        <w:rPr>
          <w:szCs w:val="20"/>
        </w:rPr>
        <w:t>On the first area of further work, Ofgem issued two papers in advance of the CFF:</w:t>
      </w:r>
    </w:p>
    <w:p w14:paraId="10C92B5C" w14:textId="77777777" w:rsidR="00A85792" w:rsidRDefault="00C270FE" w:rsidP="00A85792">
      <w:pPr>
        <w:pStyle w:val="ListParagraph"/>
        <w:numPr>
          <w:ilvl w:val="2"/>
          <w:numId w:val="14"/>
        </w:numPr>
        <w:ind w:left="1418" w:hanging="851"/>
        <w:rPr>
          <w:szCs w:val="20"/>
        </w:rPr>
      </w:pPr>
      <w:hyperlink r:id="rId22" w:history="1">
        <w:r w:rsidR="00A85792" w:rsidRPr="00C35840">
          <w:rPr>
            <w:rStyle w:val="Hyperlink"/>
            <w:szCs w:val="20"/>
          </w:rPr>
          <w:t>Targeted Charging Review working paper</w:t>
        </w:r>
      </w:hyperlink>
      <w:r w:rsidR="00A85792">
        <w:rPr>
          <w:szCs w:val="20"/>
        </w:rPr>
        <w:t xml:space="preserve">, and </w:t>
      </w:r>
    </w:p>
    <w:p w14:paraId="109130E1" w14:textId="77777777" w:rsidR="00A85792" w:rsidRDefault="00C270FE" w:rsidP="00A85792">
      <w:pPr>
        <w:pStyle w:val="ListParagraph"/>
        <w:numPr>
          <w:ilvl w:val="2"/>
          <w:numId w:val="14"/>
        </w:numPr>
        <w:ind w:left="1418" w:hanging="851"/>
        <w:rPr>
          <w:szCs w:val="20"/>
        </w:rPr>
      </w:pPr>
      <w:hyperlink r:id="rId23" w:history="1">
        <w:r w:rsidR="00A85792" w:rsidRPr="00C35840">
          <w:rPr>
            <w:rStyle w:val="Hyperlink"/>
            <w:szCs w:val="20"/>
          </w:rPr>
          <w:t>Reform of electricity network access and forward-looking charges.</w:t>
        </w:r>
      </w:hyperlink>
    </w:p>
    <w:p w14:paraId="256CB9E7" w14:textId="77777777" w:rsidR="00A85792" w:rsidRDefault="00A85792" w:rsidP="00A85792">
      <w:pPr>
        <w:ind w:left="426"/>
        <w:rPr>
          <w:szCs w:val="20"/>
        </w:rPr>
      </w:pPr>
      <w:r w:rsidRPr="00A85792">
        <w:rPr>
          <w:szCs w:val="20"/>
        </w:rPr>
        <w:lastRenderedPageBreak/>
        <w:t>The Working Group reviewed both papers. This is discussed further under section 8 below</w:t>
      </w:r>
    </w:p>
    <w:p w14:paraId="43557DA0" w14:textId="1C20FD1E" w:rsidR="00214FF5" w:rsidRPr="00A85792" w:rsidRDefault="00A85792" w:rsidP="00A85792">
      <w:pPr>
        <w:pStyle w:val="ListParagraph"/>
        <w:numPr>
          <w:ilvl w:val="1"/>
          <w:numId w:val="14"/>
        </w:numPr>
        <w:rPr>
          <w:szCs w:val="20"/>
        </w:rPr>
      </w:pPr>
      <w:r>
        <w:rPr>
          <w:szCs w:val="20"/>
        </w:rPr>
        <w:t xml:space="preserve">On the second area, </w:t>
      </w:r>
      <w:r w:rsidR="00E9544C" w:rsidRPr="00A85792">
        <w:rPr>
          <w:szCs w:val="20"/>
        </w:rPr>
        <w:t xml:space="preserve">Parties supported the allocation of the licence fee at each voltage level from a cost reflectivity perspective. </w:t>
      </w:r>
      <w:proofErr w:type="gramStart"/>
      <w:r>
        <w:rPr>
          <w:szCs w:val="20"/>
        </w:rPr>
        <w:t>In order to</w:t>
      </w:r>
      <w:proofErr w:type="gramEnd"/>
      <w:r>
        <w:rPr>
          <w:szCs w:val="20"/>
        </w:rPr>
        <w:t xml:space="preserve"> develop this, the </w:t>
      </w:r>
      <w:r w:rsidR="00E9544C" w:rsidRPr="00A85792">
        <w:rPr>
          <w:szCs w:val="20"/>
        </w:rPr>
        <w:t xml:space="preserve">Working Group requested from the DNO community </w:t>
      </w:r>
      <w:r w:rsidR="002B6F90">
        <w:rPr>
          <w:szCs w:val="20"/>
        </w:rPr>
        <w:t>the number of customers at each voltage level.  When this was analysed there were</w:t>
      </w:r>
      <w:r w:rsidR="00E9544C" w:rsidRPr="00A85792">
        <w:rPr>
          <w:szCs w:val="20"/>
        </w:rPr>
        <w:t xml:space="preserve"> 99.8% of customers </w:t>
      </w:r>
      <w:r w:rsidR="00C270FE">
        <w:rPr>
          <w:szCs w:val="20"/>
        </w:rPr>
        <w:t xml:space="preserve">forecast to be </w:t>
      </w:r>
      <w:bookmarkStart w:id="14" w:name="_GoBack"/>
      <w:bookmarkEnd w:id="14"/>
      <w:r w:rsidR="00E9544C" w:rsidRPr="00A85792">
        <w:rPr>
          <w:szCs w:val="20"/>
        </w:rPr>
        <w:t>con</w:t>
      </w:r>
      <w:r w:rsidR="00663388" w:rsidRPr="00A85792">
        <w:rPr>
          <w:szCs w:val="20"/>
        </w:rPr>
        <w:t xml:space="preserve">nected at the LV network level. </w:t>
      </w:r>
      <w:r w:rsidR="00A45862" w:rsidRPr="00A85792">
        <w:rPr>
          <w:szCs w:val="20"/>
        </w:rPr>
        <w:t>The Working Group concluded that from a pragmatic point of view</w:t>
      </w:r>
      <w:r w:rsidR="00E9544C" w:rsidRPr="00A85792">
        <w:rPr>
          <w:szCs w:val="20"/>
        </w:rPr>
        <w:t xml:space="preserve"> </w:t>
      </w:r>
      <w:r w:rsidR="00A45862" w:rsidRPr="00A85792">
        <w:rPr>
          <w:szCs w:val="20"/>
        </w:rPr>
        <w:t xml:space="preserve">it may be sensible to allocate at the LV network level rather than at each voltage level. This would reduce cost reflectivity </w:t>
      </w:r>
      <w:r w:rsidR="002B6F90">
        <w:rPr>
          <w:szCs w:val="20"/>
        </w:rPr>
        <w:t xml:space="preserve">(but likely to be immaterial) </w:t>
      </w:r>
      <w:r w:rsidR="00A45862" w:rsidRPr="00A85792">
        <w:rPr>
          <w:szCs w:val="20"/>
        </w:rPr>
        <w:t xml:space="preserve">but improve </w:t>
      </w:r>
      <w:r w:rsidR="005373FB" w:rsidRPr="00A85792">
        <w:rPr>
          <w:szCs w:val="20"/>
        </w:rPr>
        <w:t>simplicity.</w:t>
      </w:r>
    </w:p>
    <w:p w14:paraId="3780562B" w14:textId="328105C7" w:rsidR="00C270FE" w:rsidRPr="00C35840" w:rsidRDefault="00C270FE" w:rsidP="00C270FE">
      <w:pPr>
        <w:ind w:left="567"/>
        <w:rPr>
          <w:szCs w:val="20"/>
        </w:rPr>
      </w:pPr>
    </w:p>
    <w:p w14:paraId="78F866A9" w14:textId="38A38ACD" w:rsidR="00D630E4" w:rsidRDefault="00D630E4" w:rsidP="00D630E4">
      <w:pPr>
        <w:rPr>
          <w:b/>
          <w:color w:val="339966"/>
          <w:sz w:val="24"/>
        </w:rPr>
      </w:pPr>
      <w:r>
        <w:rPr>
          <w:b/>
          <w:color w:val="339966"/>
          <w:sz w:val="24"/>
        </w:rPr>
        <w:t>Second Consultation</w:t>
      </w:r>
    </w:p>
    <w:p w14:paraId="5E67E01D" w14:textId="5DAFA793" w:rsidR="00BC73ED" w:rsidRDefault="009F18DD" w:rsidP="002518AB">
      <w:pPr>
        <w:pStyle w:val="ListParagraph"/>
        <w:numPr>
          <w:ilvl w:val="1"/>
          <w:numId w:val="14"/>
        </w:numPr>
        <w:rPr>
          <w:szCs w:val="20"/>
        </w:rPr>
      </w:pPr>
      <w:r>
        <w:rPr>
          <w:szCs w:val="20"/>
        </w:rPr>
        <w:t>Following on from the responses of the first consultation</w:t>
      </w:r>
      <w:r w:rsidR="00E72845">
        <w:rPr>
          <w:szCs w:val="20"/>
        </w:rPr>
        <w:t xml:space="preserve"> and the analysis undertaken</w:t>
      </w:r>
      <w:r>
        <w:rPr>
          <w:szCs w:val="20"/>
        </w:rPr>
        <w:t xml:space="preserve">, </w:t>
      </w:r>
      <w:r w:rsidR="002B6F90">
        <w:rPr>
          <w:szCs w:val="20"/>
        </w:rPr>
        <w:t xml:space="preserve">under paragraph 5.18, </w:t>
      </w:r>
      <w:r>
        <w:rPr>
          <w:szCs w:val="20"/>
        </w:rPr>
        <w:t xml:space="preserve">the Working Group </w:t>
      </w:r>
      <w:r w:rsidR="00D630E4" w:rsidRPr="00D630E4">
        <w:rPr>
          <w:szCs w:val="20"/>
        </w:rPr>
        <w:t>agreed that</w:t>
      </w:r>
      <w:r>
        <w:rPr>
          <w:szCs w:val="20"/>
        </w:rPr>
        <w:t xml:space="preserve"> the Ofgem </w:t>
      </w:r>
      <w:r w:rsidR="00E9544C">
        <w:rPr>
          <w:szCs w:val="20"/>
        </w:rPr>
        <w:t xml:space="preserve">licence fees </w:t>
      </w:r>
      <w:r>
        <w:rPr>
          <w:szCs w:val="20"/>
        </w:rPr>
        <w:t xml:space="preserve">should be allocated to LV </w:t>
      </w:r>
      <w:r w:rsidR="00BC73ED">
        <w:rPr>
          <w:szCs w:val="20"/>
        </w:rPr>
        <w:t xml:space="preserve">voltage level </w:t>
      </w:r>
      <w:r>
        <w:rPr>
          <w:szCs w:val="20"/>
        </w:rPr>
        <w:t>customers</w:t>
      </w:r>
      <w:r w:rsidR="002B6F90">
        <w:rPr>
          <w:szCs w:val="20"/>
        </w:rPr>
        <w:t xml:space="preserve"> rather than at each voltage level</w:t>
      </w:r>
      <w:r>
        <w:rPr>
          <w:szCs w:val="20"/>
        </w:rPr>
        <w:t>.</w:t>
      </w:r>
      <w:r w:rsidR="00BC73ED">
        <w:rPr>
          <w:szCs w:val="20"/>
        </w:rPr>
        <w:t xml:space="preserve"> The rationale for this decision is </w:t>
      </w:r>
      <w:proofErr w:type="gramStart"/>
      <w:r w:rsidR="00BC73ED">
        <w:rPr>
          <w:szCs w:val="20"/>
        </w:rPr>
        <w:t>based on the fact that</w:t>
      </w:r>
      <w:proofErr w:type="gramEnd"/>
      <w:r w:rsidR="00BC73ED">
        <w:rPr>
          <w:szCs w:val="20"/>
        </w:rPr>
        <w:t xml:space="preserve"> &gt;99% of customers are connected at this voltage level and so would provide a more </w:t>
      </w:r>
      <w:r w:rsidR="009C0C5C">
        <w:rPr>
          <w:szCs w:val="20"/>
        </w:rPr>
        <w:t xml:space="preserve">simplified </w:t>
      </w:r>
      <w:r w:rsidR="00BC73ED">
        <w:rPr>
          <w:szCs w:val="20"/>
        </w:rPr>
        <w:t>solution</w:t>
      </w:r>
      <w:r w:rsidR="009C0C5C">
        <w:rPr>
          <w:szCs w:val="20"/>
        </w:rPr>
        <w:t xml:space="preserve"> at the expense of a minimal improvement in cost reflectivity</w:t>
      </w:r>
      <w:r w:rsidR="00BC73ED">
        <w:rPr>
          <w:szCs w:val="20"/>
        </w:rPr>
        <w:t>.</w:t>
      </w:r>
      <w:r>
        <w:rPr>
          <w:szCs w:val="20"/>
        </w:rPr>
        <w:t xml:space="preserve"> </w:t>
      </w:r>
    </w:p>
    <w:p w14:paraId="4FC4E3AE" w14:textId="4A99A02D" w:rsidR="002E0E9A" w:rsidRDefault="009C0C5C" w:rsidP="002518AB">
      <w:pPr>
        <w:pStyle w:val="ListParagraph"/>
        <w:numPr>
          <w:ilvl w:val="1"/>
          <w:numId w:val="14"/>
        </w:numPr>
        <w:rPr>
          <w:szCs w:val="20"/>
        </w:rPr>
      </w:pPr>
      <w:r>
        <w:rPr>
          <w:szCs w:val="20"/>
        </w:rPr>
        <w:t xml:space="preserve">The Working Group are </w:t>
      </w:r>
      <w:r w:rsidR="002E0E9A">
        <w:rPr>
          <w:szCs w:val="20"/>
        </w:rPr>
        <w:t xml:space="preserve">seeking views on the rationale used to determine that the </w:t>
      </w:r>
      <w:r>
        <w:rPr>
          <w:szCs w:val="20"/>
        </w:rPr>
        <w:t xml:space="preserve">licence fees </w:t>
      </w:r>
      <w:r w:rsidR="002B6F90">
        <w:rPr>
          <w:szCs w:val="20"/>
        </w:rPr>
        <w:t>should only</w:t>
      </w:r>
      <w:r w:rsidR="002E0E9A">
        <w:rPr>
          <w:szCs w:val="20"/>
        </w:rPr>
        <w:t xml:space="preserve"> be allocated at </w:t>
      </w:r>
      <w:r>
        <w:rPr>
          <w:szCs w:val="20"/>
        </w:rPr>
        <w:t xml:space="preserve">the </w:t>
      </w:r>
      <w:r w:rsidR="002E0E9A">
        <w:rPr>
          <w:szCs w:val="20"/>
        </w:rPr>
        <w:t xml:space="preserve">LV </w:t>
      </w:r>
      <w:r>
        <w:rPr>
          <w:szCs w:val="20"/>
        </w:rPr>
        <w:t xml:space="preserve">network </w:t>
      </w:r>
      <w:r w:rsidR="002E0E9A">
        <w:rPr>
          <w:szCs w:val="20"/>
        </w:rPr>
        <w:t>level</w:t>
      </w:r>
      <w:r w:rsidR="002B6F90">
        <w:rPr>
          <w:szCs w:val="20"/>
        </w:rPr>
        <w:t xml:space="preserve"> (since the view of Parties was that it should be at each voltage level). The Working Group would like Parties to consider this </w:t>
      </w:r>
      <w:proofErr w:type="gramStart"/>
      <w:r w:rsidR="002B6F90">
        <w:rPr>
          <w:szCs w:val="20"/>
        </w:rPr>
        <w:t>in light of</w:t>
      </w:r>
      <w:proofErr w:type="gramEnd"/>
      <w:r w:rsidR="002B6F90">
        <w:rPr>
          <w:szCs w:val="20"/>
        </w:rPr>
        <w:t xml:space="preserve"> the </w:t>
      </w:r>
      <w:r w:rsidR="002E0E9A">
        <w:rPr>
          <w:szCs w:val="20"/>
        </w:rPr>
        <w:t xml:space="preserve">impact on LDNO tariffs in section </w:t>
      </w:r>
      <w:r w:rsidR="002B6F90">
        <w:rPr>
          <w:szCs w:val="20"/>
        </w:rPr>
        <w:t xml:space="preserve">8 </w:t>
      </w:r>
      <w:r w:rsidR="002E0E9A">
        <w:rPr>
          <w:szCs w:val="20"/>
        </w:rPr>
        <w:t>below.</w:t>
      </w:r>
    </w:p>
    <w:tbl>
      <w:tblPr>
        <w:tblStyle w:val="TableList2"/>
        <w:tblW w:w="0" w:type="auto"/>
        <w:tblLook w:val="04A0" w:firstRow="1" w:lastRow="0" w:firstColumn="1" w:lastColumn="0" w:noHBand="0" w:noVBand="1"/>
      </w:tblPr>
      <w:tblGrid>
        <w:gridCol w:w="9346"/>
      </w:tblGrid>
      <w:tr w:rsidR="00BC73ED" w14:paraId="2EEC4B29" w14:textId="77777777" w:rsidTr="00BC73ED">
        <w:trPr>
          <w:cnfStyle w:val="100000000000" w:firstRow="1" w:lastRow="0" w:firstColumn="0" w:lastColumn="0" w:oddVBand="0" w:evenVBand="0" w:oddHBand="0" w:evenHBand="0" w:firstRowFirstColumn="0" w:firstRowLastColumn="0" w:lastRowFirstColumn="0" w:lastRowLastColumn="0"/>
        </w:trPr>
        <w:tc>
          <w:tcPr>
            <w:tcW w:w="9346" w:type="dxa"/>
          </w:tcPr>
          <w:p w14:paraId="26D75BDF" w14:textId="56AEAF70" w:rsidR="00BC73ED" w:rsidRPr="00BC73ED" w:rsidRDefault="001A1E20" w:rsidP="00BC73ED">
            <w:pPr>
              <w:rPr>
                <w:color w:val="FFFFFF" w:themeColor="background1"/>
                <w:szCs w:val="20"/>
              </w:rPr>
            </w:pPr>
            <w:r>
              <w:rPr>
                <w:color w:val="FFFFFF" w:themeColor="background1"/>
                <w:szCs w:val="20"/>
              </w:rPr>
              <w:t>Q1</w:t>
            </w:r>
            <w:r w:rsidR="00BC73ED">
              <w:rPr>
                <w:color w:val="FFFFFF" w:themeColor="background1"/>
                <w:szCs w:val="20"/>
              </w:rPr>
              <w:t xml:space="preserve">: Are Parties comfortable with the approach proposed by the Working Group to allocate the Ofgem </w:t>
            </w:r>
            <w:r w:rsidR="00F91525">
              <w:rPr>
                <w:color w:val="FFFFFF" w:themeColor="background1"/>
                <w:szCs w:val="20"/>
              </w:rPr>
              <w:t>l</w:t>
            </w:r>
            <w:r w:rsidR="00BC73ED">
              <w:rPr>
                <w:color w:val="FFFFFF" w:themeColor="background1"/>
                <w:szCs w:val="20"/>
              </w:rPr>
              <w:t xml:space="preserve">icence </w:t>
            </w:r>
            <w:r w:rsidR="00F91525">
              <w:rPr>
                <w:color w:val="FFFFFF" w:themeColor="background1"/>
                <w:szCs w:val="20"/>
              </w:rPr>
              <w:t>f</w:t>
            </w:r>
            <w:r w:rsidR="00BC73ED">
              <w:rPr>
                <w:color w:val="FFFFFF" w:themeColor="background1"/>
                <w:szCs w:val="20"/>
              </w:rPr>
              <w:t>ees to the LV Service Customers rather than allocating them across all voltage levels?</w:t>
            </w:r>
            <w:r w:rsidR="009A1FC2">
              <w:rPr>
                <w:color w:val="FFFFFF" w:themeColor="background1"/>
                <w:szCs w:val="20"/>
              </w:rPr>
              <w:t xml:space="preserve"> If not provide your rationale</w:t>
            </w:r>
            <w:r w:rsidR="00C270FE">
              <w:rPr>
                <w:color w:val="FFFFFF" w:themeColor="background1"/>
                <w:szCs w:val="20"/>
              </w:rPr>
              <w:t>.</w:t>
            </w:r>
          </w:p>
        </w:tc>
      </w:tr>
    </w:tbl>
    <w:p w14:paraId="5EBD049A" w14:textId="3E569A05" w:rsidR="0046735A" w:rsidRPr="002E0E9A" w:rsidRDefault="0046735A" w:rsidP="002E0E9A">
      <w:pPr>
        <w:rPr>
          <w:szCs w:val="20"/>
        </w:rPr>
      </w:pPr>
    </w:p>
    <w:p w14:paraId="5F1992C3" w14:textId="77777777" w:rsidR="00F97791" w:rsidRPr="00EB32BB" w:rsidRDefault="00F97791" w:rsidP="00F97791">
      <w:pPr>
        <w:pStyle w:val="Heading02"/>
        <w:keepNext w:val="0"/>
        <w:numPr>
          <w:ilvl w:val="0"/>
          <w:numId w:val="14"/>
        </w:numPr>
      </w:pPr>
      <w:bookmarkStart w:id="15" w:name="_Toc492567088"/>
      <w:bookmarkStart w:id="16" w:name="_Toc464564983"/>
      <w:r w:rsidRPr="00EB32BB">
        <w:t>Legal Text</w:t>
      </w:r>
      <w:bookmarkEnd w:id="15"/>
      <w:r w:rsidR="005908D1">
        <w:t xml:space="preserve"> </w:t>
      </w:r>
      <w:bookmarkEnd w:id="16"/>
    </w:p>
    <w:p w14:paraId="08D68DD7" w14:textId="04341FB7" w:rsidR="001D602B" w:rsidRPr="001D602B" w:rsidRDefault="0014021A" w:rsidP="001D602B">
      <w:pPr>
        <w:pStyle w:val="Heading2"/>
        <w:keepNext w:val="0"/>
        <w:numPr>
          <w:ilvl w:val="1"/>
          <w:numId w:val="43"/>
        </w:numPr>
        <w:spacing w:before="240" w:after="60" w:line="360" w:lineRule="auto"/>
        <w:jc w:val="both"/>
        <w:rPr>
          <w:color w:val="auto"/>
          <w:sz w:val="20"/>
          <w:szCs w:val="20"/>
        </w:rPr>
      </w:pPr>
      <w:r>
        <w:rPr>
          <w:color w:val="auto"/>
          <w:sz w:val="20"/>
          <w:szCs w:val="20"/>
        </w:rPr>
        <w:t>The draft</w:t>
      </w:r>
      <w:r w:rsidR="00071B36">
        <w:rPr>
          <w:color w:val="auto"/>
          <w:sz w:val="20"/>
          <w:szCs w:val="20"/>
        </w:rPr>
        <w:t xml:space="preserve"> legal text acts as </w:t>
      </w:r>
      <w:r w:rsidR="00071B36" w:rsidRPr="00663388">
        <w:rPr>
          <w:color w:val="auto"/>
          <w:sz w:val="20"/>
          <w:szCs w:val="20"/>
        </w:rPr>
        <w:t xml:space="preserve">Attachment </w:t>
      </w:r>
      <w:r w:rsidR="00663388" w:rsidRPr="00663388">
        <w:rPr>
          <w:color w:val="auto"/>
          <w:sz w:val="20"/>
          <w:szCs w:val="20"/>
        </w:rPr>
        <w:t>3</w:t>
      </w:r>
      <w:r w:rsidR="009A1FC2">
        <w:rPr>
          <w:color w:val="auto"/>
          <w:sz w:val="20"/>
          <w:szCs w:val="20"/>
        </w:rPr>
        <w:t xml:space="preserve"> </w:t>
      </w:r>
      <w:r>
        <w:rPr>
          <w:color w:val="auto"/>
          <w:sz w:val="20"/>
          <w:szCs w:val="20"/>
        </w:rPr>
        <w:t>to this consultation.</w:t>
      </w:r>
    </w:p>
    <w:p w14:paraId="1E1B807E" w14:textId="6C81F8E6" w:rsidR="0014021A" w:rsidRDefault="0014021A" w:rsidP="004A4900">
      <w:pPr>
        <w:pStyle w:val="Heading2"/>
        <w:keepNext w:val="0"/>
        <w:numPr>
          <w:ilvl w:val="1"/>
          <w:numId w:val="43"/>
        </w:numPr>
        <w:spacing w:before="240" w:after="60" w:line="360" w:lineRule="auto"/>
        <w:jc w:val="both"/>
        <w:rPr>
          <w:color w:val="auto"/>
          <w:sz w:val="20"/>
          <w:szCs w:val="20"/>
        </w:rPr>
      </w:pPr>
      <w:commentRangeStart w:id="17"/>
      <w:r>
        <w:rPr>
          <w:color w:val="auto"/>
          <w:sz w:val="20"/>
          <w:szCs w:val="20"/>
        </w:rPr>
        <w:t>The</w:t>
      </w:r>
      <w:commentRangeEnd w:id="17"/>
      <w:r w:rsidR="002B6F90">
        <w:rPr>
          <w:rStyle w:val="CommentReference"/>
          <w:rFonts w:cs="Times New Roman"/>
          <w:bCs w:val="0"/>
          <w:iCs w:val="0"/>
          <w:color w:val="auto"/>
        </w:rPr>
        <w:commentReference w:id="17"/>
      </w:r>
      <w:r>
        <w:rPr>
          <w:color w:val="auto"/>
          <w:sz w:val="20"/>
          <w:szCs w:val="20"/>
        </w:rPr>
        <w:t xml:space="preserve"> draft legal text amends </w:t>
      </w:r>
      <w:r w:rsidRPr="0014021A">
        <w:rPr>
          <w:color w:val="auto"/>
          <w:sz w:val="20"/>
          <w:szCs w:val="20"/>
        </w:rPr>
        <w:t>Schedule XX, Clause 6 table and a new clause 11B</w:t>
      </w:r>
      <w:r>
        <w:rPr>
          <w:color w:val="auto"/>
          <w:sz w:val="20"/>
          <w:szCs w:val="20"/>
        </w:rPr>
        <w:t>, which is being implemented by DCP 234 ‘Merging the PCDM and the extended PCDM’</w:t>
      </w:r>
    </w:p>
    <w:p w14:paraId="51368378" w14:textId="4A62F593" w:rsidR="00EA7F51" w:rsidRDefault="00EA7F51" w:rsidP="00EA7F51">
      <w:pPr>
        <w:pStyle w:val="ListParagraph"/>
        <w:numPr>
          <w:ilvl w:val="1"/>
          <w:numId w:val="43"/>
        </w:numPr>
      </w:pPr>
      <w:r>
        <w:t>The legal text will be updated as follows:</w:t>
      </w:r>
    </w:p>
    <w:p w14:paraId="5173F13A" w14:textId="1942C993" w:rsidR="00EA7F51" w:rsidRPr="00EA7F51" w:rsidRDefault="00EA7F51" w:rsidP="00EA7F51">
      <w:pPr>
        <w:pStyle w:val="ListParagraph"/>
        <w:ind w:left="576"/>
        <w:rPr>
          <w:b/>
        </w:rPr>
      </w:pPr>
      <w:r>
        <w:rPr>
          <w:b/>
        </w:rPr>
        <w:t>Table: Allocation rules</w:t>
      </w:r>
    </w:p>
    <w:tbl>
      <w:tblPr>
        <w:tblW w:w="8790"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12"/>
        <w:gridCol w:w="1701"/>
        <w:gridCol w:w="1417"/>
        <w:gridCol w:w="1560"/>
      </w:tblGrid>
      <w:tr w:rsidR="00EA7F51" w14:paraId="68D957C8" w14:textId="77777777" w:rsidTr="00EA7F51">
        <w:trPr>
          <w:cantSplit/>
          <w:trHeight w:val="302"/>
        </w:trPr>
        <w:tc>
          <w:tcPr>
            <w:tcW w:w="4112" w:type="dxa"/>
            <w:tcBorders>
              <w:top w:val="single" w:sz="4" w:space="0" w:color="auto"/>
              <w:left w:val="single" w:sz="4" w:space="0" w:color="auto"/>
              <w:bottom w:val="single" w:sz="4" w:space="0" w:color="auto"/>
              <w:right w:val="single" w:sz="4" w:space="0" w:color="auto"/>
            </w:tcBorders>
            <w:hideMark/>
          </w:tcPr>
          <w:p w14:paraId="22D16CF9" w14:textId="77777777" w:rsidR="00EA7F51" w:rsidRDefault="00EA7F51">
            <w:pPr>
              <w:keepLines/>
              <w:widowControl w:val="0"/>
              <w:spacing w:after="0" w:line="276" w:lineRule="auto"/>
              <w:outlineLvl w:val="5"/>
              <w:rPr>
                <w:rFonts w:ascii="Times New Roman" w:hAnsi="Times New Roman"/>
                <w:sz w:val="24"/>
                <w:szCs w:val="22"/>
              </w:rPr>
            </w:pPr>
            <w:proofErr w:type="gramStart"/>
            <w:r>
              <w:rPr>
                <w:rFonts w:ascii="Times New Roman" w:hAnsi="Times New Roman"/>
                <w:sz w:val="24"/>
              </w:rPr>
              <w:t>Non activity</w:t>
            </w:r>
            <w:proofErr w:type="gramEnd"/>
            <w:r>
              <w:rPr>
                <w:rFonts w:ascii="Times New Roman" w:hAnsi="Times New Roman"/>
                <w:sz w:val="24"/>
              </w:rPr>
              <w:t xml:space="preserve"> costs and reconciling amounts </w:t>
            </w:r>
          </w:p>
        </w:tc>
        <w:tc>
          <w:tcPr>
            <w:tcW w:w="1701" w:type="dxa"/>
            <w:tcBorders>
              <w:top w:val="single" w:sz="4" w:space="0" w:color="auto"/>
              <w:left w:val="single" w:sz="4" w:space="0" w:color="auto"/>
              <w:bottom w:val="single" w:sz="4" w:space="0" w:color="auto"/>
              <w:right w:val="single" w:sz="4" w:space="0" w:color="auto"/>
            </w:tcBorders>
            <w:hideMark/>
          </w:tcPr>
          <w:p w14:paraId="574E5357" w14:textId="411C3A74" w:rsidR="00EA7F51" w:rsidRDefault="00EA7F51">
            <w:pPr>
              <w:keepLines/>
              <w:widowControl w:val="0"/>
              <w:spacing w:after="0" w:line="276" w:lineRule="auto"/>
              <w:outlineLvl w:val="5"/>
              <w:rPr>
                <w:rFonts w:ascii="Times New Roman" w:hAnsi="Times New Roman"/>
                <w:sz w:val="24"/>
              </w:rPr>
            </w:pPr>
            <w:r w:rsidRPr="00EA7F51">
              <w:rPr>
                <w:rFonts w:ascii="Times New Roman" w:hAnsi="Times New Roman"/>
                <w:strike/>
                <w:color w:val="C00000"/>
                <w:sz w:val="24"/>
              </w:rPr>
              <w:t>Do not allocate</w:t>
            </w:r>
            <w:r w:rsidRPr="00EA7F51">
              <w:rPr>
                <w:rFonts w:ascii="Times New Roman" w:hAnsi="Times New Roman"/>
                <w:color w:val="C00000"/>
                <w:sz w:val="24"/>
              </w:rPr>
              <w:t xml:space="preserve"> see paragraph 11A in this schedule XX</w:t>
            </w:r>
          </w:p>
        </w:tc>
        <w:tc>
          <w:tcPr>
            <w:tcW w:w="1417" w:type="dxa"/>
            <w:tcBorders>
              <w:top w:val="single" w:sz="4" w:space="0" w:color="auto"/>
              <w:left w:val="single" w:sz="4" w:space="0" w:color="auto"/>
              <w:bottom w:val="single" w:sz="4" w:space="0" w:color="auto"/>
              <w:right w:val="single" w:sz="4" w:space="0" w:color="auto"/>
            </w:tcBorders>
            <w:noWrap/>
          </w:tcPr>
          <w:p w14:paraId="72E003FF" w14:textId="77777777" w:rsidR="00EA7F51" w:rsidRDefault="00EA7F51">
            <w:pPr>
              <w:widowControl w:val="0"/>
              <w:spacing w:after="0" w:line="276" w:lineRule="auto"/>
              <w:rPr>
                <w:rFonts w:ascii="Times New Roman" w:hAnsi="Times New Roman"/>
                <w:sz w:val="24"/>
              </w:rPr>
            </w:pPr>
          </w:p>
        </w:tc>
        <w:tc>
          <w:tcPr>
            <w:tcW w:w="1560" w:type="dxa"/>
            <w:tcBorders>
              <w:top w:val="single" w:sz="4" w:space="0" w:color="auto"/>
              <w:left w:val="single" w:sz="4" w:space="0" w:color="auto"/>
              <w:bottom w:val="single" w:sz="4" w:space="0" w:color="auto"/>
              <w:right w:val="single" w:sz="4" w:space="0" w:color="auto"/>
            </w:tcBorders>
            <w:noWrap/>
            <w:hideMark/>
          </w:tcPr>
          <w:p w14:paraId="17065436" w14:textId="77777777" w:rsidR="00EA7F51" w:rsidRDefault="00EA7F51">
            <w:pPr>
              <w:keepLines/>
              <w:widowControl w:val="0"/>
              <w:spacing w:after="0" w:line="276" w:lineRule="auto"/>
              <w:outlineLvl w:val="5"/>
              <w:rPr>
                <w:rFonts w:ascii="Times New Roman" w:hAnsi="Times New Roman"/>
                <w:sz w:val="24"/>
              </w:rPr>
            </w:pPr>
            <w:r>
              <w:rPr>
                <w:rFonts w:ascii="Times New Roman" w:hAnsi="Times New Roman"/>
                <w:sz w:val="24"/>
              </w:rPr>
              <w:t>1</w:t>
            </w:r>
          </w:p>
        </w:tc>
      </w:tr>
    </w:tbl>
    <w:p w14:paraId="4C2ACC0C" w14:textId="77777777" w:rsidR="00EA7F51" w:rsidRPr="00EA7F51" w:rsidRDefault="00EA7F51" w:rsidP="00EA7F51">
      <w:pPr>
        <w:autoSpaceDE w:val="0"/>
        <w:autoSpaceDN w:val="0"/>
        <w:adjustRightInd w:val="0"/>
        <w:ind w:left="709" w:right="-9" w:hanging="709"/>
        <w:jc w:val="both"/>
        <w:rPr>
          <w:rFonts w:asciiTheme="minorHAnsi" w:hAnsiTheme="minorHAnsi"/>
          <w:color w:val="C00000"/>
          <w:u w:val="single"/>
        </w:rPr>
      </w:pPr>
      <w:r w:rsidRPr="00EA7F51">
        <w:rPr>
          <w:rFonts w:ascii="Times New Roman" w:hAnsi="Times New Roman"/>
          <w:color w:val="C00000"/>
          <w:sz w:val="24"/>
        </w:rPr>
        <w:t>11A</w:t>
      </w:r>
      <w:r w:rsidRPr="00EA7F51">
        <w:rPr>
          <w:rFonts w:ascii="Times New Roman" w:hAnsi="Times New Roman"/>
          <w:color w:val="C00000"/>
          <w:sz w:val="24"/>
        </w:rPr>
        <w:tab/>
      </w:r>
      <w:r w:rsidRPr="00EA7F51">
        <w:rPr>
          <w:color w:val="C00000"/>
          <w:u w:val="single"/>
        </w:rPr>
        <w:t>RRP costs described in the table at 6 above as “</w:t>
      </w:r>
      <w:proofErr w:type="gramStart"/>
      <w:r w:rsidRPr="00EA7F51">
        <w:rPr>
          <w:color w:val="C00000"/>
          <w:u w:val="single"/>
        </w:rPr>
        <w:t>Non activity</w:t>
      </w:r>
      <w:proofErr w:type="gramEnd"/>
      <w:r w:rsidRPr="00EA7F51">
        <w:rPr>
          <w:color w:val="C00000"/>
          <w:u w:val="single"/>
        </w:rPr>
        <w:t xml:space="preserve"> costs and reconciling amounts” shall be allocated as follows:</w:t>
      </w:r>
    </w:p>
    <w:p w14:paraId="20E2C3C6" w14:textId="77777777" w:rsidR="00EA7F51" w:rsidRPr="00EA7F51" w:rsidRDefault="00EA7F51" w:rsidP="00EA7F51">
      <w:pPr>
        <w:pStyle w:val="ListParagraph"/>
        <w:numPr>
          <w:ilvl w:val="0"/>
          <w:numId w:val="44"/>
        </w:numPr>
        <w:autoSpaceDE w:val="0"/>
        <w:autoSpaceDN w:val="0"/>
        <w:adjustRightInd w:val="0"/>
        <w:spacing w:before="0" w:after="240" w:line="360" w:lineRule="auto"/>
        <w:ind w:right="-9"/>
        <w:contextualSpacing/>
        <w:jc w:val="both"/>
        <w:rPr>
          <w:color w:val="C00000"/>
          <w:u w:val="single"/>
        </w:rPr>
      </w:pPr>
      <w:r w:rsidRPr="00EA7F51">
        <w:rPr>
          <w:color w:val="C00000"/>
          <w:u w:val="single"/>
        </w:rPr>
        <w:t>Costs described in table 2.6 of the 2007/2008 RRP as “Ofgem licence fees” shall be 100% allocated directly to the LV services level.</w:t>
      </w:r>
    </w:p>
    <w:p w14:paraId="367D4D7C" w14:textId="77777777" w:rsidR="00EA7F51" w:rsidRPr="00EA7F51" w:rsidRDefault="00EA7F51" w:rsidP="00EA7F51">
      <w:pPr>
        <w:pStyle w:val="ListParagraph"/>
        <w:numPr>
          <w:ilvl w:val="0"/>
          <w:numId w:val="44"/>
        </w:numPr>
        <w:autoSpaceDE w:val="0"/>
        <w:autoSpaceDN w:val="0"/>
        <w:adjustRightInd w:val="0"/>
        <w:spacing w:before="0" w:after="240" w:line="360" w:lineRule="auto"/>
        <w:ind w:right="-9"/>
        <w:contextualSpacing/>
        <w:jc w:val="both"/>
        <w:rPr>
          <w:color w:val="C00000"/>
          <w:u w:val="single"/>
        </w:rPr>
      </w:pPr>
      <w:r w:rsidRPr="00EA7F51">
        <w:rPr>
          <w:color w:val="C00000"/>
          <w:u w:val="single"/>
        </w:rPr>
        <w:t>No other costs shall be directly allocated</w:t>
      </w:r>
    </w:p>
    <w:p w14:paraId="31A06EA5" w14:textId="77777777" w:rsidR="00EA7F51" w:rsidRPr="00EA7F51" w:rsidRDefault="00EA7F51" w:rsidP="00EA7F51">
      <w:pPr>
        <w:pStyle w:val="ListParagraph"/>
        <w:ind w:left="576"/>
      </w:pPr>
    </w:p>
    <w:p w14:paraId="3D0F88BD" w14:textId="33028DB7" w:rsidR="00D3651A" w:rsidRDefault="0046735A" w:rsidP="004A4900">
      <w:pPr>
        <w:pStyle w:val="Heading2"/>
        <w:keepNext w:val="0"/>
        <w:numPr>
          <w:ilvl w:val="1"/>
          <w:numId w:val="43"/>
        </w:numPr>
        <w:spacing w:before="240" w:after="60" w:line="360" w:lineRule="auto"/>
        <w:jc w:val="both"/>
        <w:rPr>
          <w:color w:val="auto"/>
          <w:sz w:val="20"/>
          <w:szCs w:val="20"/>
        </w:rPr>
      </w:pPr>
      <w:r>
        <w:rPr>
          <w:color w:val="auto"/>
          <w:sz w:val="20"/>
          <w:szCs w:val="20"/>
        </w:rPr>
        <w:t>The Working Group would like industry feedback on the proposed legal text.</w:t>
      </w:r>
    </w:p>
    <w:tbl>
      <w:tblPr>
        <w:tblStyle w:val="TableList2"/>
        <w:tblW w:w="0" w:type="auto"/>
        <w:tblLook w:val="04A0" w:firstRow="1" w:lastRow="0" w:firstColumn="1" w:lastColumn="0" w:noHBand="0" w:noVBand="1"/>
      </w:tblPr>
      <w:tblGrid>
        <w:gridCol w:w="9346"/>
      </w:tblGrid>
      <w:tr w:rsidR="0046735A" w14:paraId="3A04DFB5" w14:textId="77777777" w:rsidTr="0046735A">
        <w:trPr>
          <w:cnfStyle w:val="100000000000" w:firstRow="1" w:lastRow="0" w:firstColumn="0" w:lastColumn="0" w:oddVBand="0" w:evenVBand="0" w:oddHBand="0" w:evenHBand="0" w:firstRowFirstColumn="0" w:firstRowLastColumn="0" w:lastRowFirstColumn="0" w:lastRowLastColumn="0"/>
        </w:trPr>
        <w:tc>
          <w:tcPr>
            <w:tcW w:w="9346" w:type="dxa"/>
          </w:tcPr>
          <w:p w14:paraId="545ACA04" w14:textId="74D42B0F" w:rsidR="0046735A" w:rsidRPr="0046735A" w:rsidRDefault="0046735A" w:rsidP="0046735A">
            <w:pPr>
              <w:rPr>
                <w:color w:val="FFFFFF" w:themeColor="background1"/>
              </w:rPr>
            </w:pPr>
            <w:r>
              <w:rPr>
                <w:color w:val="FFFFFF" w:themeColor="background1"/>
              </w:rPr>
              <w:t>Q</w:t>
            </w:r>
            <w:r w:rsidR="001A1E20">
              <w:rPr>
                <w:color w:val="FFFFFF" w:themeColor="background1"/>
              </w:rPr>
              <w:t>2</w:t>
            </w:r>
            <w:r>
              <w:rPr>
                <w:color w:val="FFFFFF" w:themeColor="background1"/>
              </w:rPr>
              <w:t xml:space="preserve"> Do you have any comments on the proposed legal text?</w:t>
            </w:r>
          </w:p>
        </w:tc>
      </w:tr>
    </w:tbl>
    <w:p w14:paraId="0403810C" w14:textId="77777777" w:rsidR="0046735A" w:rsidRPr="0046735A" w:rsidRDefault="0046735A" w:rsidP="0046735A"/>
    <w:p w14:paraId="24F04848" w14:textId="77777777" w:rsidR="00B52063" w:rsidRPr="00EB32BB" w:rsidRDefault="00B52063" w:rsidP="00CB2A38">
      <w:pPr>
        <w:pStyle w:val="Heading02"/>
        <w:numPr>
          <w:ilvl w:val="0"/>
          <w:numId w:val="14"/>
        </w:numPr>
      </w:pPr>
      <w:bookmarkStart w:id="18" w:name="_Toc453107801"/>
      <w:bookmarkStart w:id="19" w:name="_Toc464564984"/>
      <w:bookmarkStart w:id="20" w:name="_Toc492567089"/>
      <w:r w:rsidRPr="00EB32BB">
        <w:t>Relevant Objectives</w:t>
      </w:r>
      <w:bookmarkEnd w:id="13"/>
      <w:bookmarkEnd w:id="18"/>
      <w:bookmarkEnd w:id="19"/>
      <w:bookmarkEnd w:id="20"/>
    </w:p>
    <w:p w14:paraId="3111A590" w14:textId="77777777" w:rsidR="002733C1" w:rsidRPr="002733C1" w:rsidRDefault="002733C1" w:rsidP="002733C1">
      <w:pPr>
        <w:pStyle w:val="Heading2"/>
        <w:spacing w:before="240" w:after="60" w:line="360" w:lineRule="auto"/>
        <w:rPr>
          <w:rFonts w:ascii="Calibri" w:hAnsi="Calibri"/>
          <w:color w:val="auto"/>
          <w:sz w:val="22"/>
          <w:szCs w:val="20"/>
        </w:rPr>
      </w:pPr>
      <w:r w:rsidRPr="00F04DA2">
        <w:rPr>
          <w:b/>
          <w:iCs w:val="0"/>
          <w:sz w:val="24"/>
        </w:rPr>
        <w:t>A</w:t>
      </w:r>
      <w:r>
        <w:rPr>
          <w:b/>
          <w:iCs w:val="0"/>
          <w:sz w:val="24"/>
        </w:rPr>
        <w:t>ssessment A</w:t>
      </w:r>
      <w:r w:rsidRPr="00F04DA2">
        <w:rPr>
          <w:b/>
          <w:iCs w:val="0"/>
          <w:sz w:val="24"/>
        </w:rPr>
        <w:t xml:space="preserve">gainst the </w:t>
      </w:r>
      <w:r>
        <w:rPr>
          <w:b/>
          <w:iCs w:val="0"/>
          <w:sz w:val="24"/>
        </w:rPr>
        <w:t>DCUSA O</w:t>
      </w:r>
      <w:r w:rsidRPr="00F04DA2">
        <w:rPr>
          <w:b/>
          <w:iCs w:val="0"/>
          <w:sz w:val="24"/>
        </w:rPr>
        <w:t xml:space="preserve">bjectives </w:t>
      </w:r>
    </w:p>
    <w:p w14:paraId="1A1ECD39" w14:textId="0BB7889C" w:rsidR="007666BA" w:rsidRDefault="00586BD1" w:rsidP="00214FF5">
      <w:pPr>
        <w:numPr>
          <w:ilvl w:val="1"/>
          <w:numId w:val="14"/>
        </w:numPr>
        <w:jc w:val="both"/>
        <w:rPr>
          <w:rFonts w:cs="Arial"/>
          <w:bCs/>
          <w:iCs/>
          <w:szCs w:val="20"/>
        </w:rPr>
      </w:pPr>
      <w:r w:rsidRPr="002E0E9A">
        <w:rPr>
          <w:rFonts w:cs="Arial"/>
          <w:bCs/>
          <w:iCs/>
          <w:szCs w:val="20"/>
        </w:rPr>
        <w:t>For a DCUSA Change Proposal to be approved it must be demonstrated that it better meets the DCUSA Object</w:t>
      </w:r>
      <w:r w:rsidR="001052FF" w:rsidRPr="002E0E9A">
        <w:rPr>
          <w:rFonts w:cs="Arial"/>
          <w:bCs/>
          <w:iCs/>
          <w:szCs w:val="20"/>
        </w:rPr>
        <w:t xml:space="preserve">ives. </w:t>
      </w:r>
      <w:r w:rsidR="002E0E9A" w:rsidRPr="002E0E9A">
        <w:rPr>
          <w:rFonts w:cs="Arial"/>
          <w:bCs/>
          <w:iCs/>
          <w:szCs w:val="20"/>
        </w:rPr>
        <w:t xml:space="preserve">Following on from the first consultation, respondents agreed with the Proposer that DCUSA Charging Objective 3 would be better facilitated as the LDNO tariffs produced by the CDCM will better reflect the </w:t>
      </w:r>
      <w:r w:rsidR="007C2555" w:rsidRPr="002E0E9A">
        <w:rPr>
          <w:rFonts w:cs="Arial"/>
          <w:bCs/>
          <w:iCs/>
          <w:szCs w:val="20"/>
        </w:rPr>
        <w:t>mechanism</w:t>
      </w:r>
      <w:r w:rsidR="002E0E9A" w:rsidRPr="002E0E9A">
        <w:rPr>
          <w:rFonts w:cs="Arial"/>
          <w:bCs/>
          <w:iCs/>
          <w:szCs w:val="20"/>
        </w:rPr>
        <w:t xml:space="preserve"> by which the costs are incurred</w:t>
      </w:r>
      <w:r w:rsidR="0014021A" w:rsidRPr="002E0E9A">
        <w:rPr>
          <w:rFonts w:cs="Arial"/>
          <w:bCs/>
          <w:iCs/>
          <w:szCs w:val="20"/>
        </w:rPr>
        <w:t>.</w:t>
      </w:r>
    </w:p>
    <w:p w14:paraId="5230C180" w14:textId="4FA770B0" w:rsidR="002E0E9A" w:rsidRDefault="002E0E9A" w:rsidP="00214FF5">
      <w:pPr>
        <w:numPr>
          <w:ilvl w:val="1"/>
          <w:numId w:val="14"/>
        </w:numPr>
        <w:jc w:val="both"/>
        <w:rPr>
          <w:rFonts w:cs="Arial"/>
          <w:bCs/>
          <w:iCs/>
          <w:szCs w:val="20"/>
        </w:rPr>
      </w:pPr>
      <w:r>
        <w:rPr>
          <w:rFonts w:cs="Arial"/>
          <w:bCs/>
          <w:iCs/>
          <w:szCs w:val="20"/>
        </w:rPr>
        <w:t xml:space="preserve">The Working Group have concluded that they are </w:t>
      </w:r>
      <w:r w:rsidR="00C270FE">
        <w:rPr>
          <w:rFonts w:cs="Arial"/>
          <w:bCs/>
          <w:iCs/>
          <w:szCs w:val="20"/>
        </w:rPr>
        <w:t>minded</w:t>
      </w:r>
      <w:r>
        <w:rPr>
          <w:rFonts w:cs="Arial"/>
          <w:bCs/>
          <w:iCs/>
          <w:szCs w:val="20"/>
        </w:rPr>
        <w:t xml:space="preserve"> </w:t>
      </w:r>
      <w:proofErr w:type="gramStart"/>
      <w:r>
        <w:rPr>
          <w:rFonts w:cs="Arial"/>
          <w:bCs/>
          <w:iCs/>
          <w:szCs w:val="20"/>
        </w:rPr>
        <w:t>to adopt</w:t>
      </w:r>
      <w:proofErr w:type="gramEnd"/>
      <w:r>
        <w:rPr>
          <w:rFonts w:cs="Arial"/>
          <w:bCs/>
          <w:iCs/>
          <w:szCs w:val="20"/>
        </w:rPr>
        <w:t xml:space="preserve"> the approach of allocating the Ofgem </w:t>
      </w:r>
      <w:r w:rsidR="009C0C5C">
        <w:rPr>
          <w:rFonts w:cs="Arial"/>
          <w:bCs/>
          <w:iCs/>
          <w:szCs w:val="20"/>
        </w:rPr>
        <w:t xml:space="preserve">licence fees </w:t>
      </w:r>
      <w:r w:rsidR="007C2555">
        <w:rPr>
          <w:rFonts w:cs="Arial"/>
          <w:bCs/>
          <w:iCs/>
          <w:szCs w:val="20"/>
        </w:rPr>
        <w:t xml:space="preserve">to LV </w:t>
      </w:r>
      <w:r w:rsidR="009C0C5C">
        <w:rPr>
          <w:rFonts w:cs="Arial"/>
          <w:bCs/>
          <w:iCs/>
          <w:szCs w:val="20"/>
        </w:rPr>
        <w:t>network customers rather than customers at each voltage level</w:t>
      </w:r>
      <w:r w:rsidR="007C2555">
        <w:rPr>
          <w:rFonts w:cs="Arial"/>
          <w:bCs/>
          <w:iCs/>
          <w:szCs w:val="20"/>
        </w:rPr>
        <w:t>, therefore, the Working Group seeks industry opinion on whether DCUSA Charging Objective 3 would still be positively impacted by the change and whether any of the other DCUSA Charging would be better facilitated.</w:t>
      </w:r>
    </w:p>
    <w:tbl>
      <w:tblPr>
        <w:tblStyle w:val="TableList2"/>
        <w:tblW w:w="0" w:type="auto"/>
        <w:tblLook w:val="04A0" w:firstRow="1" w:lastRow="0" w:firstColumn="1" w:lastColumn="0" w:noHBand="0" w:noVBand="1"/>
      </w:tblPr>
      <w:tblGrid>
        <w:gridCol w:w="9346"/>
      </w:tblGrid>
      <w:tr w:rsidR="00FA4EBA" w14:paraId="2E4455C9" w14:textId="77777777" w:rsidTr="00FA4EBA">
        <w:trPr>
          <w:cnfStyle w:val="100000000000" w:firstRow="1" w:lastRow="0" w:firstColumn="0" w:lastColumn="0" w:oddVBand="0" w:evenVBand="0" w:oddHBand="0" w:evenHBand="0" w:firstRowFirstColumn="0" w:firstRowLastColumn="0" w:lastRowFirstColumn="0" w:lastRowLastColumn="0"/>
        </w:trPr>
        <w:tc>
          <w:tcPr>
            <w:tcW w:w="9346" w:type="dxa"/>
          </w:tcPr>
          <w:p w14:paraId="003FE517" w14:textId="6A36F46D" w:rsidR="00FA4EBA" w:rsidRDefault="00FA4EBA" w:rsidP="00FA4EBA">
            <w:pPr>
              <w:jc w:val="both"/>
              <w:rPr>
                <w:rFonts w:cs="Arial"/>
                <w:bCs w:val="0"/>
                <w:iCs/>
                <w:szCs w:val="20"/>
              </w:rPr>
            </w:pPr>
            <w:r>
              <w:rPr>
                <w:rFonts w:cs="Arial"/>
                <w:bCs w:val="0"/>
                <w:iCs/>
                <w:szCs w:val="20"/>
              </w:rPr>
              <w:t>Q</w:t>
            </w:r>
            <w:r w:rsidR="001A1E20">
              <w:rPr>
                <w:rFonts w:cs="Arial"/>
                <w:bCs w:val="0"/>
                <w:iCs/>
                <w:szCs w:val="20"/>
              </w:rPr>
              <w:t>3</w:t>
            </w:r>
            <w:r>
              <w:rPr>
                <w:rFonts w:cs="Arial"/>
                <w:bCs w:val="0"/>
                <w:iCs/>
                <w:szCs w:val="20"/>
              </w:rPr>
              <w:t>: Which of the DCUSA Charging Objectives are better facilitated by this change? Please provide your rationale.</w:t>
            </w:r>
          </w:p>
        </w:tc>
      </w:tr>
    </w:tbl>
    <w:p w14:paraId="5D1DA1C6" w14:textId="09167B7D" w:rsidR="007666BA" w:rsidRDefault="007666BA" w:rsidP="007666BA">
      <w:pPr>
        <w:jc w:val="both"/>
        <w:rPr>
          <w:rFonts w:cs="Arial"/>
          <w:bCs/>
          <w:iCs/>
          <w:szCs w:val="20"/>
        </w:rPr>
      </w:pPr>
    </w:p>
    <w:tbl>
      <w:tblPr>
        <w:tblpPr w:leftFromText="180" w:rightFromText="180" w:vertAnchor="text" w:horzAnchor="margin" w:tblpY="266"/>
        <w:tblW w:w="9488"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9488"/>
      </w:tblGrid>
      <w:tr w:rsidR="005930F8" w14:paraId="20ED476F" w14:textId="77777777" w:rsidTr="0014021A">
        <w:trPr>
          <w:trHeight w:val="397"/>
        </w:trPr>
        <w:tc>
          <w:tcPr>
            <w:tcW w:w="9488" w:type="dxa"/>
            <w:tcBorders>
              <w:top w:val="single" w:sz="8" w:space="0" w:color="008576"/>
              <w:left w:val="single" w:sz="8" w:space="0" w:color="008576"/>
              <w:bottom w:val="single" w:sz="8" w:space="0" w:color="008576"/>
              <w:right w:val="single" w:sz="8" w:space="0" w:color="008576"/>
            </w:tcBorders>
            <w:shd w:val="clear" w:color="auto" w:fill="008576"/>
            <w:vAlign w:val="center"/>
            <w:hideMark/>
          </w:tcPr>
          <w:p w14:paraId="6C840CD5" w14:textId="7782F962" w:rsidR="005930F8" w:rsidRDefault="00642E23" w:rsidP="005930F8">
            <w:pPr>
              <w:spacing w:line="240" w:lineRule="auto"/>
              <w:ind w:left="113"/>
              <w:rPr>
                <w:rFonts w:cs="Arial"/>
                <w:b/>
                <w:color w:val="FFFFFF"/>
              </w:rPr>
            </w:pPr>
            <w:r>
              <w:rPr>
                <w:rFonts w:cs="Arial"/>
                <w:b/>
                <w:color w:val="FFFFFF"/>
              </w:rPr>
              <w:t>DCUSA Charging</w:t>
            </w:r>
            <w:r w:rsidR="005930F8">
              <w:rPr>
                <w:rFonts w:cs="Arial"/>
                <w:b/>
                <w:color w:val="FFFFFF"/>
              </w:rPr>
              <w:t xml:space="preserve"> Objectives:</w:t>
            </w:r>
          </w:p>
        </w:tc>
      </w:tr>
      <w:tr w:rsidR="007C2555" w14:paraId="36EE6E41" w14:textId="77777777" w:rsidTr="0014021A">
        <w:trPr>
          <w:trHeight w:val="397"/>
        </w:trPr>
        <w:tc>
          <w:tcPr>
            <w:tcW w:w="9488" w:type="dxa"/>
            <w:tcBorders>
              <w:top w:val="single" w:sz="8" w:space="0" w:color="008576"/>
              <w:left w:val="single" w:sz="8" w:space="0" w:color="008576"/>
              <w:bottom w:val="single" w:sz="8" w:space="0" w:color="008576"/>
              <w:right w:val="single" w:sz="8" w:space="0" w:color="008576"/>
            </w:tcBorders>
          </w:tcPr>
          <w:p w14:paraId="76625F49" w14:textId="6DE84431" w:rsidR="007C2555" w:rsidRPr="007C2555" w:rsidRDefault="007C2555" w:rsidP="005930F8">
            <w:pPr>
              <w:rPr>
                <w:rFonts w:cs="Arial"/>
                <w:szCs w:val="20"/>
              </w:rPr>
            </w:pPr>
            <w:r>
              <w:rPr>
                <w:rFonts w:cs="Arial"/>
                <w:b/>
                <w:szCs w:val="20"/>
              </w:rPr>
              <w:t>Charging Objective 1</w:t>
            </w:r>
            <w:r>
              <w:rPr>
                <w:rFonts w:cs="Arial"/>
                <w:szCs w:val="20"/>
              </w:rPr>
              <w:t xml:space="preserve"> – that compliance by each DNO Party with the Charging Methodologies facilitates the discharge by the DNO Party of the obligations imposed on it under the Act and by its Distribution Licence</w:t>
            </w:r>
          </w:p>
        </w:tc>
      </w:tr>
      <w:tr w:rsidR="007C2555" w14:paraId="34EC05DA" w14:textId="77777777" w:rsidTr="0014021A">
        <w:trPr>
          <w:trHeight w:val="397"/>
        </w:trPr>
        <w:tc>
          <w:tcPr>
            <w:tcW w:w="9488" w:type="dxa"/>
            <w:tcBorders>
              <w:top w:val="single" w:sz="8" w:space="0" w:color="008576"/>
              <w:left w:val="single" w:sz="8" w:space="0" w:color="008576"/>
              <w:bottom w:val="single" w:sz="8" w:space="0" w:color="008576"/>
              <w:right w:val="single" w:sz="8" w:space="0" w:color="008576"/>
            </w:tcBorders>
          </w:tcPr>
          <w:p w14:paraId="678D5B14" w14:textId="31136175" w:rsidR="007C2555" w:rsidRPr="007C2555" w:rsidRDefault="007C2555" w:rsidP="005930F8">
            <w:pPr>
              <w:rPr>
                <w:rFonts w:cs="Arial"/>
                <w:szCs w:val="20"/>
              </w:rPr>
            </w:pPr>
            <w:r>
              <w:rPr>
                <w:rFonts w:cs="Arial"/>
                <w:b/>
                <w:szCs w:val="20"/>
              </w:rPr>
              <w:t>Charging Objective 2</w:t>
            </w:r>
            <w:r>
              <w:rPr>
                <w:rFonts w:cs="Arial"/>
                <w:szCs w:val="20"/>
              </w:rPr>
              <w:t xml:space="preserve"> – that compliance by each DNO Party with the Charging Methodologies facilitates competition in the generation and supply of electricity and will not restrict, distort, or prevent competition in the transmission or distribution of electricity or in participation in the operation of an Interconnector (as defined in the Distribution Licences)</w:t>
            </w:r>
          </w:p>
        </w:tc>
      </w:tr>
      <w:tr w:rsidR="005930F8" w14:paraId="6BCDD864" w14:textId="77777777" w:rsidTr="0014021A">
        <w:trPr>
          <w:trHeight w:val="397"/>
        </w:trPr>
        <w:tc>
          <w:tcPr>
            <w:tcW w:w="9488" w:type="dxa"/>
            <w:tcBorders>
              <w:top w:val="single" w:sz="8" w:space="0" w:color="008576"/>
              <w:left w:val="single" w:sz="8" w:space="0" w:color="008576"/>
              <w:bottom w:val="single" w:sz="8" w:space="0" w:color="008576"/>
              <w:right w:val="single" w:sz="8" w:space="0" w:color="008576"/>
            </w:tcBorders>
          </w:tcPr>
          <w:p w14:paraId="0BB2F781" w14:textId="77777777" w:rsidR="005930F8" w:rsidRDefault="0005400A" w:rsidP="005930F8">
            <w:pPr>
              <w:rPr>
                <w:rFonts w:cs="Arial"/>
                <w:b/>
                <w:szCs w:val="20"/>
              </w:rPr>
            </w:pPr>
            <w:r>
              <w:rPr>
                <w:rFonts w:cs="Arial"/>
                <w:b/>
                <w:szCs w:val="20"/>
              </w:rPr>
              <w:t>Charging</w:t>
            </w:r>
            <w:r w:rsidR="005930F8">
              <w:rPr>
                <w:rFonts w:cs="Arial"/>
                <w:b/>
                <w:szCs w:val="20"/>
              </w:rPr>
              <w:t xml:space="preserve"> Objective 3 </w:t>
            </w:r>
            <w:r w:rsidR="005930F8">
              <w:rPr>
                <w:rFonts w:cs="Arial"/>
                <w:szCs w:val="20"/>
              </w:rPr>
              <w:t xml:space="preserve">- </w:t>
            </w:r>
            <w:r w:rsidR="005930F8">
              <w:rPr>
                <w:rFonts w:cs="Arial"/>
                <w:noProof/>
              </w:rPr>
              <w:t xml:space="preserve"> </w:t>
            </w:r>
            <w:r>
              <w:rPr>
                <w:rFonts w:cs="Arial"/>
                <w:szCs w:val="20"/>
              </w:rPr>
              <w:t>that compliance by each DNO Party with the Charging Methodologies results in charges which, so far as is reasonably practicable after taking account of implementation costs, reflect the costs incurred, or reasonably expected to be incurred, by the DNO Party in its Distribution Business</w:t>
            </w:r>
          </w:p>
        </w:tc>
      </w:tr>
      <w:tr w:rsidR="007C2555" w14:paraId="13FEC89C" w14:textId="77777777" w:rsidTr="0014021A">
        <w:trPr>
          <w:trHeight w:val="397"/>
        </w:trPr>
        <w:tc>
          <w:tcPr>
            <w:tcW w:w="9488" w:type="dxa"/>
            <w:tcBorders>
              <w:top w:val="single" w:sz="8" w:space="0" w:color="008576"/>
              <w:left w:val="single" w:sz="8" w:space="0" w:color="008576"/>
              <w:bottom w:val="single" w:sz="8" w:space="0" w:color="008576"/>
              <w:right w:val="single" w:sz="8" w:space="0" w:color="008576"/>
            </w:tcBorders>
          </w:tcPr>
          <w:p w14:paraId="7102D052" w14:textId="53B00F20" w:rsidR="007C2555" w:rsidRPr="007C2555" w:rsidRDefault="007C2555" w:rsidP="005930F8">
            <w:pPr>
              <w:rPr>
                <w:rFonts w:cs="Arial"/>
                <w:szCs w:val="20"/>
              </w:rPr>
            </w:pPr>
            <w:r>
              <w:rPr>
                <w:rFonts w:cs="Arial"/>
                <w:b/>
                <w:szCs w:val="20"/>
              </w:rPr>
              <w:t>Charging Objective 4</w:t>
            </w:r>
            <w:r>
              <w:rPr>
                <w:rFonts w:cs="Arial"/>
                <w:szCs w:val="20"/>
              </w:rPr>
              <w:t xml:space="preserve"> - </w:t>
            </w:r>
            <w:r w:rsidR="0060457E">
              <w:rPr>
                <w:rFonts w:cs="Arial"/>
                <w:noProof/>
              </w:rPr>
              <w:t>that, so far as is consistent with Clauses 3.2.1 to 3.2.3, the Charging Methodologies, so far as is reasonably practicable, properly take account of developments in each DNO Party’s Distribution Business</w:t>
            </w:r>
          </w:p>
        </w:tc>
      </w:tr>
      <w:tr w:rsidR="0060457E" w14:paraId="34AE48A6" w14:textId="77777777" w:rsidTr="0014021A">
        <w:trPr>
          <w:trHeight w:val="397"/>
        </w:trPr>
        <w:tc>
          <w:tcPr>
            <w:tcW w:w="9488" w:type="dxa"/>
            <w:tcBorders>
              <w:top w:val="single" w:sz="8" w:space="0" w:color="008576"/>
              <w:left w:val="single" w:sz="8" w:space="0" w:color="008576"/>
              <w:bottom w:val="single" w:sz="8" w:space="0" w:color="008576"/>
              <w:right w:val="single" w:sz="8" w:space="0" w:color="008576"/>
            </w:tcBorders>
          </w:tcPr>
          <w:p w14:paraId="192828B4" w14:textId="43CBA03C" w:rsidR="0060457E" w:rsidRPr="0060457E" w:rsidRDefault="0060457E" w:rsidP="005930F8">
            <w:pPr>
              <w:rPr>
                <w:rFonts w:cs="Arial"/>
                <w:szCs w:val="20"/>
              </w:rPr>
            </w:pPr>
            <w:r>
              <w:rPr>
                <w:rFonts w:cs="Arial"/>
                <w:b/>
                <w:szCs w:val="20"/>
              </w:rPr>
              <w:lastRenderedPageBreak/>
              <w:t xml:space="preserve">Charging Objective 5 </w:t>
            </w:r>
            <w:r>
              <w:rPr>
                <w:rFonts w:cs="Arial"/>
                <w:szCs w:val="20"/>
              </w:rPr>
              <w:t xml:space="preserve">- </w:t>
            </w:r>
            <w:r>
              <w:rPr>
                <w:rFonts w:cs="Arial"/>
                <w:noProof/>
              </w:rPr>
              <w:t>that compliance by each DNO Party with the Charging Methodologies facilitates compliance with the Regulation on Cross-Border Exchange in Electricity and any relevant legally binding decisions of the European Commission and/or the Agency for the Co-operation of Energy Regulators.</w:t>
            </w:r>
          </w:p>
        </w:tc>
      </w:tr>
      <w:tr w:rsidR="0060457E" w14:paraId="1474D461" w14:textId="77777777" w:rsidTr="0014021A">
        <w:trPr>
          <w:trHeight w:val="397"/>
        </w:trPr>
        <w:tc>
          <w:tcPr>
            <w:tcW w:w="9488" w:type="dxa"/>
            <w:tcBorders>
              <w:top w:val="single" w:sz="8" w:space="0" w:color="008576"/>
              <w:left w:val="single" w:sz="8" w:space="0" w:color="008576"/>
              <w:bottom w:val="single" w:sz="8" w:space="0" w:color="008576"/>
              <w:right w:val="single" w:sz="8" w:space="0" w:color="008576"/>
            </w:tcBorders>
          </w:tcPr>
          <w:p w14:paraId="01A79110" w14:textId="696CD512" w:rsidR="0060457E" w:rsidRPr="0060457E" w:rsidRDefault="0060457E" w:rsidP="005930F8">
            <w:pPr>
              <w:rPr>
                <w:rFonts w:cs="Arial"/>
                <w:szCs w:val="20"/>
              </w:rPr>
            </w:pPr>
            <w:r>
              <w:rPr>
                <w:rFonts w:cs="Arial"/>
                <w:b/>
                <w:szCs w:val="20"/>
              </w:rPr>
              <w:t xml:space="preserve">Charging Objective 6 </w:t>
            </w:r>
            <w:r>
              <w:rPr>
                <w:rFonts w:cs="Arial"/>
                <w:szCs w:val="20"/>
              </w:rPr>
              <w:t xml:space="preserve">- </w:t>
            </w:r>
            <w:r>
              <w:rPr>
                <w:rFonts w:cs="Arial"/>
                <w:noProof/>
              </w:rPr>
              <w:t xml:space="preserve"> t</w:t>
            </w:r>
            <w:r w:rsidRPr="00F246F3">
              <w:rPr>
                <w:rFonts w:cs="Arial"/>
                <w:noProof/>
              </w:rPr>
              <w:t>hat compliance with the Charging Methodologies promotes efficiency in its own implementation and administration</w:t>
            </w:r>
            <w:r w:rsidRPr="00441C23">
              <w:rPr>
                <w:rFonts w:cs="Arial"/>
                <w:noProof/>
              </w:rPr>
              <w:t>.</w:t>
            </w:r>
          </w:p>
        </w:tc>
      </w:tr>
    </w:tbl>
    <w:p w14:paraId="30D876EB" w14:textId="7CD62A96" w:rsidR="005930F8" w:rsidRDefault="005930F8" w:rsidP="005930F8">
      <w:pPr>
        <w:ind w:left="576"/>
        <w:rPr>
          <w:rFonts w:cs="Arial"/>
          <w:bCs/>
          <w:iCs/>
          <w:szCs w:val="20"/>
        </w:rPr>
      </w:pPr>
    </w:p>
    <w:p w14:paraId="3F2CB6B3" w14:textId="77777777" w:rsidR="0060457E" w:rsidRDefault="0060457E" w:rsidP="005930F8">
      <w:pPr>
        <w:ind w:left="576"/>
        <w:rPr>
          <w:rFonts w:cs="Arial"/>
          <w:bCs/>
          <w:iCs/>
          <w:szCs w:val="20"/>
        </w:rPr>
      </w:pPr>
    </w:p>
    <w:p w14:paraId="7B56E371" w14:textId="77777777" w:rsidR="006D75CD" w:rsidRPr="00EB32BB" w:rsidRDefault="006D75CD" w:rsidP="00CB2A38">
      <w:pPr>
        <w:pStyle w:val="Heading02"/>
        <w:numPr>
          <w:ilvl w:val="0"/>
          <w:numId w:val="14"/>
        </w:numPr>
        <w:rPr>
          <w:noProof/>
        </w:rPr>
      </w:pPr>
      <w:bookmarkStart w:id="21" w:name="_Toc318962138"/>
      <w:bookmarkStart w:id="22" w:name="_Toc453107802"/>
      <w:bookmarkStart w:id="23" w:name="_Toc492567090"/>
      <w:r w:rsidRPr="00EB32BB">
        <w:rPr>
          <w:noProof/>
        </w:rPr>
        <w:t xml:space="preserve">Impacts </w:t>
      </w:r>
      <w:r w:rsidR="00784486">
        <w:rPr>
          <w:noProof/>
        </w:rPr>
        <w:t>&amp; Other Considerations</w:t>
      </w:r>
      <w:bookmarkEnd w:id="21"/>
      <w:bookmarkEnd w:id="22"/>
      <w:bookmarkEnd w:id="23"/>
    </w:p>
    <w:p w14:paraId="4F607098" w14:textId="77777777" w:rsidR="00586BD1" w:rsidRPr="00EB32BB" w:rsidRDefault="00586BD1" w:rsidP="00586BD1">
      <w:pPr>
        <w:pStyle w:val="Heading4"/>
        <w:keepLines w:val="0"/>
        <w:spacing w:before="240"/>
        <w:rPr>
          <w:rFonts w:ascii="Arial" w:eastAsia="Times New Roman" w:hAnsi="Arial" w:cs="Arial"/>
          <w:i w:val="0"/>
          <w:iCs w:val="0"/>
          <w:color w:val="008576"/>
          <w:sz w:val="24"/>
          <w:szCs w:val="28"/>
        </w:rPr>
      </w:pPr>
      <w:r w:rsidRPr="00EB32BB">
        <w:rPr>
          <w:rFonts w:ascii="Arial" w:eastAsia="Times New Roman" w:hAnsi="Arial" w:cs="Arial"/>
          <w:i w:val="0"/>
          <w:iCs w:val="0"/>
          <w:color w:val="008576"/>
          <w:sz w:val="24"/>
          <w:szCs w:val="28"/>
        </w:rPr>
        <w:t xml:space="preserve">Does this </w:t>
      </w:r>
      <w:r>
        <w:rPr>
          <w:rFonts w:ascii="Arial" w:eastAsia="Times New Roman" w:hAnsi="Arial" w:cs="Arial"/>
          <w:i w:val="0"/>
          <w:iCs w:val="0"/>
          <w:color w:val="008576"/>
          <w:sz w:val="24"/>
          <w:szCs w:val="28"/>
        </w:rPr>
        <w:t>Change Proposal</w:t>
      </w:r>
      <w:r w:rsidRPr="00EB32BB">
        <w:rPr>
          <w:rFonts w:ascii="Arial" w:eastAsia="Times New Roman" w:hAnsi="Arial" w:cs="Arial"/>
          <w:i w:val="0"/>
          <w:iCs w:val="0"/>
          <w:color w:val="008576"/>
          <w:sz w:val="24"/>
          <w:szCs w:val="28"/>
        </w:rPr>
        <w:t xml:space="preserve"> impact a Significant Code Review (SCR) or other significant industry change projects, if so, how?</w:t>
      </w:r>
    </w:p>
    <w:p w14:paraId="41CC4B83" w14:textId="4E132803" w:rsidR="00586BD1" w:rsidRDefault="00AD111B" w:rsidP="00E009B3">
      <w:pPr>
        <w:pStyle w:val="Heading2"/>
        <w:numPr>
          <w:ilvl w:val="1"/>
          <w:numId w:val="14"/>
        </w:numPr>
        <w:spacing w:before="240" w:after="60" w:line="360" w:lineRule="auto"/>
        <w:jc w:val="both"/>
        <w:rPr>
          <w:color w:val="auto"/>
          <w:sz w:val="20"/>
          <w:szCs w:val="20"/>
        </w:rPr>
      </w:pPr>
      <w:r>
        <w:rPr>
          <w:color w:val="auto"/>
          <w:sz w:val="20"/>
          <w:szCs w:val="20"/>
        </w:rPr>
        <w:t xml:space="preserve">The Working Group discussed whether it would be better if the intent of this change is </w:t>
      </w:r>
      <w:r w:rsidR="00C270FE">
        <w:rPr>
          <w:color w:val="auto"/>
          <w:sz w:val="20"/>
          <w:szCs w:val="20"/>
        </w:rPr>
        <w:t>reviewed as part of Ofgem’s T</w:t>
      </w:r>
      <w:r>
        <w:rPr>
          <w:color w:val="auto"/>
          <w:sz w:val="20"/>
          <w:szCs w:val="20"/>
        </w:rPr>
        <w:t>CR</w:t>
      </w:r>
      <w:r w:rsidR="00642EBA">
        <w:rPr>
          <w:color w:val="auto"/>
          <w:sz w:val="20"/>
          <w:szCs w:val="20"/>
        </w:rPr>
        <w:t xml:space="preserve"> or</w:t>
      </w:r>
      <w:r w:rsidR="009710EF">
        <w:rPr>
          <w:color w:val="auto"/>
          <w:sz w:val="20"/>
          <w:szCs w:val="20"/>
        </w:rPr>
        <w:t xml:space="preserve"> the</w:t>
      </w:r>
      <w:r w:rsidR="00C270FE">
        <w:rPr>
          <w:color w:val="auto"/>
          <w:sz w:val="20"/>
          <w:szCs w:val="20"/>
        </w:rPr>
        <w:t xml:space="preserve"> wider CDCM r</w:t>
      </w:r>
      <w:r w:rsidR="00642EBA">
        <w:rPr>
          <w:color w:val="auto"/>
          <w:sz w:val="20"/>
          <w:szCs w:val="20"/>
        </w:rPr>
        <w:t>eview.</w:t>
      </w:r>
      <w:r w:rsidR="00C93823">
        <w:rPr>
          <w:color w:val="auto"/>
          <w:sz w:val="20"/>
          <w:szCs w:val="20"/>
        </w:rPr>
        <w:t xml:space="preserve"> Ofgem provided two </w:t>
      </w:r>
      <w:r w:rsidR="005373FB">
        <w:rPr>
          <w:color w:val="auto"/>
          <w:sz w:val="20"/>
          <w:szCs w:val="20"/>
        </w:rPr>
        <w:t>papers for</w:t>
      </w:r>
      <w:r w:rsidR="00C93823">
        <w:rPr>
          <w:color w:val="auto"/>
          <w:sz w:val="20"/>
          <w:szCs w:val="20"/>
        </w:rPr>
        <w:t xml:space="preserve"> the Working Group to review and d</w:t>
      </w:r>
      <w:r w:rsidR="00F46BE3">
        <w:rPr>
          <w:color w:val="auto"/>
          <w:sz w:val="20"/>
          <w:szCs w:val="20"/>
        </w:rPr>
        <w:t xml:space="preserve">ecide whether the </w:t>
      </w:r>
      <w:r w:rsidR="003A294F">
        <w:rPr>
          <w:color w:val="auto"/>
          <w:sz w:val="20"/>
          <w:szCs w:val="20"/>
        </w:rPr>
        <w:t>change is</w:t>
      </w:r>
      <w:r w:rsidR="00C93823">
        <w:rPr>
          <w:color w:val="auto"/>
          <w:sz w:val="20"/>
          <w:szCs w:val="20"/>
        </w:rPr>
        <w:t xml:space="preserve"> under the Working Group’s remit or whether th</w:t>
      </w:r>
      <w:r w:rsidR="00C270FE">
        <w:rPr>
          <w:color w:val="auto"/>
          <w:sz w:val="20"/>
          <w:szCs w:val="20"/>
        </w:rPr>
        <w:t>ey should be considered by the T</w:t>
      </w:r>
      <w:r w:rsidR="00C93823">
        <w:rPr>
          <w:color w:val="auto"/>
          <w:sz w:val="20"/>
          <w:szCs w:val="20"/>
        </w:rPr>
        <w:t xml:space="preserve">CR or the </w:t>
      </w:r>
      <w:r w:rsidR="003A294F">
        <w:rPr>
          <w:color w:val="auto"/>
          <w:sz w:val="20"/>
          <w:szCs w:val="20"/>
        </w:rPr>
        <w:t>CFF and one of its Task Forces</w:t>
      </w:r>
      <w:r w:rsidR="00C93823">
        <w:rPr>
          <w:color w:val="auto"/>
          <w:sz w:val="20"/>
          <w:szCs w:val="20"/>
        </w:rPr>
        <w:t>.</w:t>
      </w:r>
    </w:p>
    <w:p w14:paraId="7D781919" w14:textId="68994248" w:rsidR="00671CD7" w:rsidRDefault="003A294F" w:rsidP="00671CD7">
      <w:pPr>
        <w:pStyle w:val="Heading2"/>
        <w:numPr>
          <w:ilvl w:val="1"/>
          <w:numId w:val="14"/>
        </w:numPr>
        <w:spacing w:before="240" w:after="60" w:line="360" w:lineRule="auto"/>
        <w:jc w:val="both"/>
        <w:rPr>
          <w:color w:val="auto"/>
          <w:sz w:val="20"/>
          <w:szCs w:val="20"/>
        </w:rPr>
      </w:pPr>
      <w:r>
        <w:rPr>
          <w:color w:val="auto"/>
          <w:sz w:val="20"/>
          <w:szCs w:val="20"/>
        </w:rPr>
        <w:t xml:space="preserve">The Working Group highlighted that the </w:t>
      </w:r>
      <w:r w:rsidR="00C270FE">
        <w:rPr>
          <w:color w:val="auto"/>
          <w:sz w:val="20"/>
          <w:szCs w:val="20"/>
        </w:rPr>
        <w:t>T</w:t>
      </w:r>
      <w:r w:rsidR="005D12F7">
        <w:rPr>
          <w:color w:val="auto"/>
          <w:sz w:val="20"/>
          <w:szCs w:val="20"/>
        </w:rPr>
        <w:t xml:space="preserve">CR is </w:t>
      </w:r>
      <w:r>
        <w:rPr>
          <w:color w:val="auto"/>
          <w:sz w:val="20"/>
          <w:szCs w:val="20"/>
        </w:rPr>
        <w:t>reviewing residual charges</w:t>
      </w:r>
      <w:r w:rsidR="00C270FE">
        <w:rPr>
          <w:color w:val="auto"/>
          <w:sz w:val="20"/>
          <w:szCs w:val="20"/>
        </w:rPr>
        <w:t>, while the Task F</w:t>
      </w:r>
      <w:r w:rsidR="005D12F7">
        <w:rPr>
          <w:color w:val="auto"/>
          <w:sz w:val="20"/>
          <w:szCs w:val="20"/>
        </w:rPr>
        <w:t xml:space="preserve">orces will be covering forward-looking charges and access arrangements. As the Working Group are </w:t>
      </w:r>
      <w:r>
        <w:rPr>
          <w:color w:val="auto"/>
          <w:sz w:val="20"/>
          <w:szCs w:val="20"/>
        </w:rPr>
        <w:t>solel</w:t>
      </w:r>
      <w:r w:rsidR="00671CD7">
        <w:rPr>
          <w:color w:val="auto"/>
          <w:sz w:val="20"/>
          <w:szCs w:val="20"/>
        </w:rPr>
        <w:t>y focuss</w:t>
      </w:r>
      <w:r w:rsidR="005D12F7">
        <w:rPr>
          <w:color w:val="auto"/>
          <w:sz w:val="20"/>
          <w:szCs w:val="20"/>
        </w:rPr>
        <w:t>ing</w:t>
      </w:r>
      <w:r w:rsidR="00671CD7">
        <w:rPr>
          <w:color w:val="auto"/>
          <w:sz w:val="20"/>
          <w:szCs w:val="20"/>
        </w:rPr>
        <w:t xml:space="preserve"> on the PCDM</w:t>
      </w:r>
      <w:r w:rsidR="005D12F7">
        <w:rPr>
          <w:color w:val="auto"/>
          <w:sz w:val="20"/>
          <w:szCs w:val="20"/>
        </w:rPr>
        <w:t>, there is no direct interaction</w:t>
      </w:r>
      <w:r w:rsidR="00C270FE">
        <w:rPr>
          <w:color w:val="auto"/>
          <w:sz w:val="20"/>
          <w:szCs w:val="20"/>
        </w:rPr>
        <w:t xml:space="preserve"> between this proposal and the T</w:t>
      </w:r>
      <w:r w:rsidR="005D12F7">
        <w:rPr>
          <w:color w:val="auto"/>
          <w:sz w:val="20"/>
          <w:szCs w:val="20"/>
        </w:rPr>
        <w:t>CR. Therefore,</w:t>
      </w:r>
      <w:r w:rsidR="00671CD7">
        <w:rPr>
          <w:color w:val="auto"/>
          <w:sz w:val="20"/>
          <w:szCs w:val="20"/>
        </w:rPr>
        <w:t xml:space="preserve"> </w:t>
      </w:r>
      <w:r w:rsidR="005D12F7">
        <w:rPr>
          <w:color w:val="auto"/>
          <w:sz w:val="20"/>
          <w:szCs w:val="20"/>
        </w:rPr>
        <w:t xml:space="preserve">unless </w:t>
      </w:r>
      <w:r w:rsidR="00671CD7">
        <w:rPr>
          <w:color w:val="auto"/>
          <w:sz w:val="20"/>
          <w:szCs w:val="20"/>
        </w:rPr>
        <w:t>the Working Group</w:t>
      </w:r>
      <w:r w:rsidR="005D12F7">
        <w:rPr>
          <w:color w:val="auto"/>
          <w:sz w:val="20"/>
          <w:szCs w:val="20"/>
        </w:rPr>
        <w:t xml:space="preserve"> are given direction by Ofgem to put the proposal on hold, they are going to continue to discuss the solution. </w:t>
      </w:r>
    </w:p>
    <w:p w14:paraId="3DF60A22" w14:textId="14D0A072" w:rsidR="00DF3C48" w:rsidRDefault="00671CD7" w:rsidP="00DF3C48">
      <w:pPr>
        <w:pStyle w:val="ListParagraph"/>
        <w:numPr>
          <w:ilvl w:val="1"/>
          <w:numId w:val="14"/>
        </w:numPr>
      </w:pPr>
      <w:r>
        <w:t xml:space="preserve">The Ofgem representative </w:t>
      </w:r>
      <w:r w:rsidR="00DF3C48">
        <w:t xml:space="preserve">highlighted that </w:t>
      </w:r>
      <w:r w:rsidR="005D12F7">
        <w:t>the proposal could eventual</w:t>
      </w:r>
      <w:r w:rsidR="00C270FE">
        <w:t>ly be covered by the Task F</w:t>
      </w:r>
      <w:r w:rsidR="005D12F7">
        <w:t xml:space="preserve">orces and any changes </w:t>
      </w:r>
      <w:proofErr w:type="gramStart"/>
      <w:r w:rsidR="005D12F7">
        <w:t>as a result of</w:t>
      </w:r>
      <w:proofErr w:type="gramEnd"/>
      <w:r w:rsidR="005D12F7">
        <w:t xml:space="preserve"> this proposal could be sup</w:t>
      </w:r>
      <w:r w:rsidR="00C270FE">
        <w:t>erseded by the outcomes of the Task F</w:t>
      </w:r>
      <w:r w:rsidR="005D12F7">
        <w:t>orces at a later date</w:t>
      </w:r>
      <w:r w:rsidR="00DF3C48">
        <w:t xml:space="preserve">. </w:t>
      </w:r>
      <w:r w:rsidR="001A1E20">
        <w:t>This was noted by the Working Group.</w:t>
      </w:r>
    </w:p>
    <w:tbl>
      <w:tblPr>
        <w:tblStyle w:val="TableList2"/>
        <w:tblW w:w="0" w:type="auto"/>
        <w:tblLook w:val="04A0" w:firstRow="1" w:lastRow="0" w:firstColumn="1" w:lastColumn="0" w:noHBand="0" w:noVBand="1"/>
      </w:tblPr>
      <w:tblGrid>
        <w:gridCol w:w="9346"/>
      </w:tblGrid>
      <w:tr w:rsidR="00DF3C48" w14:paraId="75C5CD60" w14:textId="77777777" w:rsidTr="00DF3C48">
        <w:trPr>
          <w:cnfStyle w:val="100000000000" w:firstRow="1" w:lastRow="0" w:firstColumn="0" w:lastColumn="0" w:oddVBand="0" w:evenVBand="0" w:oddHBand="0" w:evenHBand="0" w:firstRowFirstColumn="0" w:firstRowLastColumn="0" w:lastRowFirstColumn="0" w:lastRowLastColumn="0"/>
        </w:trPr>
        <w:tc>
          <w:tcPr>
            <w:tcW w:w="9346" w:type="dxa"/>
          </w:tcPr>
          <w:p w14:paraId="59B4524A" w14:textId="790DFB4E" w:rsidR="00DF3C48" w:rsidRDefault="00DF3C48" w:rsidP="00DF3C48">
            <w:r>
              <w:t>Q</w:t>
            </w:r>
            <w:r w:rsidR="001A1E20">
              <w:t>4</w:t>
            </w:r>
            <w:r>
              <w:t>: Do you agree that the change should continue to be assessed via the DCUSA Change Process and not the SCR, CFF or wider Task Forces?</w:t>
            </w:r>
          </w:p>
        </w:tc>
      </w:tr>
    </w:tbl>
    <w:p w14:paraId="6E348ABA" w14:textId="77777777" w:rsidR="00DF3C48" w:rsidRPr="00671CD7" w:rsidRDefault="00DF3C48" w:rsidP="00DF3C48"/>
    <w:p w14:paraId="5579C7B1" w14:textId="30DE5E9E" w:rsidR="00586BD1" w:rsidRDefault="00586BD1" w:rsidP="00586BD1">
      <w:pPr>
        <w:pStyle w:val="Heading4"/>
        <w:keepLines w:val="0"/>
        <w:spacing w:before="240"/>
        <w:rPr>
          <w:rFonts w:ascii="Arial" w:eastAsia="Times New Roman" w:hAnsi="Arial" w:cs="Arial"/>
          <w:i w:val="0"/>
          <w:iCs w:val="0"/>
          <w:color w:val="008576"/>
          <w:sz w:val="24"/>
          <w:szCs w:val="28"/>
        </w:rPr>
      </w:pPr>
      <w:r>
        <w:rPr>
          <w:rFonts w:ascii="Arial" w:eastAsia="Times New Roman" w:hAnsi="Arial" w:cs="Arial"/>
          <w:i w:val="0"/>
          <w:iCs w:val="0"/>
          <w:color w:val="008576"/>
          <w:sz w:val="24"/>
          <w:szCs w:val="28"/>
        </w:rPr>
        <w:t>Consumer Impacts</w:t>
      </w:r>
    </w:p>
    <w:p w14:paraId="2C34A537" w14:textId="433FF19E" w:rsidR="00010E94" w:rsidRDefault="00010E94" w:rsidP="00010E94">
      <w:pPr>
        <w:pStyle w:val="Heading2"/>
        <w:numPr>
          <w:ilvl w:val="1"/>
          <w:numId w:val="14"/>
        </w:numPr>
        <w:spacing w:before="240" w:after="60" w:line="360" w:lineRule="auto"/>
        <w:rPr>
          <w:color w:val="auto"/>
          <w:sz w:val="20"/>
          <w:szCs w:val="20"/>
        </w:rPr>
      </w:pPr>
      <w:r>
        <w:rPr>
          <w:color w:val="auto"/>
          <w:sz w:val="20"/>
          <w:szCs w:val="20"/>
        </w:rPr>
        <w:t>The Working Group requested that the DCUSA Modeller conduct an update on the PCDM to reflect the im</w:t>
      </w:r>
      <w:r w:rsidR="00C270FE">
        <w:rPr>
          <w:color w:val="auto"/>
          <w:sz w:val="20"/>
          <w:szCs w:val="20"/>
        </w:rPr>
        <w:t>pacts on the consumer and LDNO t</w:t>
      </w:r>
      <w:r>
        <w:rPr>
          <w:color w:val="auto"/>
          <w:sz w:val="20"/>
          <w:szCs w:val="20"/>
        </w:rPr>
        <w:t xml:space="preserve">ariffs when allocating the Ofgem </w:t>
      </w:r>
      <w:r w:rsidR="00F91525">
        <w:rPr>
          <w:color w:val="auto"/>
          <w:sz w:val="20"/>
          <w:szCs w:val="20"/>
        </w:rPr>
        <w:t>l</w:t>
      </w:r>
      <w:r>
        <w:rPr>
          <w:color w:val="auto"/>
          <w:sz w:val="20"/>
          <w:szCs w:val="20"/>
        </w:rPr>
        <w:t xml:space="preserve">icence </w:t>
      </w:r>
      <w:r w:rsidR="00F91525">
        <w:rPr>
          <w:color w:val="auto"/>
          <w:sz w:val="20"/>
          <w:szCs w:val="20"/>
        </w:rPr>
        <w:t>f</w:t>
      </w:r>
      <w:r>
        <w:rPr>
          <w:color w:val="auto"/>
          <w:sz w:val="20"/>
          <w:szCs w:val="20"/>
        </w:rPr>
        <w:t>ees to LV voltage level customers</w:t>
      </w:r>
      <w:r w:rsidR="00663388">
        <w:rPr>
          <w:color w:val="auto"/>
          <w:sz w:val="20"/>
          <w:szCs w:val="20"/>
        </w:rPr>
        <w:t xml:space="preserve"> (Attachment 4</w:t>
      </w:r>
      <w:r w:rsidR="009A1FC2">
        <w:rPr>
          <w:color w:val="auto"/>
          <w:sz w:val="20"/>
          <w:szCs w:val="20"/>
        </w:rPr>
        <w:t>)</w:t>
      </w:r>
      <w:r>
        <w:rPr>
          <w:color w:val="auto"/>
          <w:sz w:val="20"/>
          <w:szCs w:val="20"/>
        </w:rPr>
        <w:t>.</w:t>
      </w:r>
    </w:p>
    <w:p w14:paraId="416F5625" w14:textId="12707008" w:rsidR="009C4C72" w:rsidRDefault="005A532B" w:rsidP="009C4C72">
      <w:pPr>
        <w:pStyle w:val="ListParagraph"/>
        <w:numPr>
          <w:ilvl w:val="1"/>
          <w:numId w:val="14"/>
        </w:numPr>
      </w:pPr>
      <w:r>
        <w:t xml:space="preserve">The impact assessment on the end user tariffs showed that there was a positive difference of between +0.01% and +0.17% on the </w:t>
      </w:r>
      <w:r w:rsidR="00AD60AF">
        <w:t>U</w:t>
      </w:r>
      <w:r>
        <w:t>nit</w:t>
      </w:r>
      <w:r w:rsidR="00AD60AF">
        <w:t xml:space="preserve"> R</w:t>
      </w:r>
      <w:r>
        <w:t>ate 1</w:t>
      </w:r>
      <w:r w:rsidR="00530EF5">
        <w:t xml:space="preserve"> (p/kWh)</w:t>
      </w:r>
      <w:r>
        <w:t xml:space="preserve"> tariffs for all DNO areas. There was also </w:t>
      </w:r>
      <w:r w:rsidR="00530EF5">
        <w:t>a small difference between +</w:t>
      </w:r>
      <w:r w:rsidR="00C270FE">
        <w:t>0.01% and +0.18% for the f</w:t>
      </w:r>
      <w:r w:rsidR="00530EF5">
        <w:t xml:space="preserve">ixed </w:t>
      </w:r>
      <w:r w:rsidR="00C270FE">
        <w:t>c</w:t>
      </w:r>
      <w:r w:rsidR="00530EF5">
        <w:t>harge for some of the DNO areas.</w:t>
      </w:r>
    </w:p>
    <w:p w14:paraId="5ED83187" w14:textId="530776B0" w:rsidR="00530EF5" w:rsidRDefault="00530EF5" w:rsidP="009C4C72">
      <w:pPr>
        <w:pStyle w:val="ListParagraph"/>
        <w:numPr>
          <w:ilvl w:val="1"/>
          <w:numId w:val="14"/>
        </w:numPr>
      </w:pPr>
      <w:r>
        <w:t>The Working Group also noted that the</w:t>
      </w:r>
      <w:r w:rsidR="00C270FE">
        <w:t xml:space="preserve"> impact assessment on the LDNO t</w:t>
      </w:r>
      <w:r>
        <w:t>ariffs showed that there were both positive and negative effects</w:t>
      </w:r>
      <w:r w:rsidR="00692C72">
        <w:t xml:space="preserve"> on all DNO area</w:t>
      </w:r>
      <w:r w:rsidR="008B37A3">
        <w:t>s</w:t>
      </w:r>
      <w:r>
        <w:t xml:space="preserve"> when allocating the O</w:t>
      </w:r>
      <w:r w:rsidR="00C270FE">
        <w:t>fgem l</w:t>
      </w:r>
      <w:r>
        <w:t xml:space="preserve">icence </w:t>
      </w:r>
      <w:r w:rsidR="00C270FE">
        <w:t>f</w:t>
      </w:r>
      <w:r>
        <w:t xml:space="preserve">ees to LV service level customers. </w:t>
      </w:r>
    </w:p>
    <w:p w14:paraId="69EDE09F" w14:textId="33729D61" w:rsidR="00AD60AF" w:rsidRPr="009C4C72" w:rsidRDefault="00692C72" w:rsidP="00AD60AF">
      <w:pPr>
        <w:pStyle w:val="ListParagraph"/>
        <w:numPr>
          <w:ilvl w:val="1"/>
          <w:numId w:val="14"/>
        </w:numPr>
      </w:pPr>
      <w:r>
        <w:lastRenderedPageBreak/>
        <w:t>These effects ranged from -</w:t>
      </w:r>
      <w:r w:rsidR="003F0D27">
        <w:t>2.38% to +</w:t>
      </w:r>
      <w:r w:rsidR="00C270FE">
        <w:t>1.41% on the u</w:t>
      </w:r>
      <w:r w:rsidR="00AD60AF">
        <w:t xml:space="preserve">nit </w:t>
      </w:r>
      <w:r w:rsidR="00C270FE">
        <w:t>r</w:t>
      </w:r>
      <w:r w:rsidR="00AD60AF">
        <w:t xml:space="preserve">ate 1 (p/kWh) tariffs for all DNO areas and -3.70% to +1.16% on the </w:t>
      </w:r>
      <w:r w:rsidR="00C270FE">
        <w:t>f</w:t>
      </w:r>
      <w:r w:rsidR="00AD60AF">
        <w:t xml:space="preserve">ixed </w:t>
      </w:r>
      <w:r w:rsidR="00C270FE">
        <w:t>c</w:t>
      </w:r>
      <w:r w:rsidR="00AD60AF">
        <w:t>harge tariffs for all DNO area when allocating the Of</w:t>
      </w:r>
      <w:r w:rsidR="002B6F90">
        <w:t>g</w:t>
      </w:r>
      <w:r w:rsidR="00C270FE">
        <w:t>em licence f</w:t>
      </w:r>
      <w:r w:rsidR="00AD60AF">
        <w:t>ees to LV service level customers.</w:t>
      </w:r>
    </w:p>
    <w:p w14:paraId="7B0C6703" w14:textId="30EF8FDB" w:rsidR="00010E94" w:rsidRDefault="00010E94" w:rsidP="00010E94">
      <w:pPr>
        <w:pStyle w:val="ListParagraph"/>
        <w:numPr>
          <w:ilvl w:val="1"/>
          <w:numId w:val="14"/>
        </w:numPr>
      </w:pPr>
      <w:r>
        <w:t xml:space="preserve">The following outcomes </w:t>
      </w:r>
      <w:r w:rsidR="00AD60AF">
        <w:t xml:space="preserve">also </w:t>
      </w:r>
      <w:r>
        <w:t xml:space="preserve">came from the </w:t>
      </w:r>
      <w:r w:rsidR="00C270FE">
        <w:t>m</w:t>
      </w:r>
      <w:r>
        <w:t>odelling update:</w:t>
      </w:r>
    </w:p>
    <w:p w14:paraId="27942FFE" w14:textId="6673977E" w:rsidR="00010E94" w:rsidRDefault="001D602B" w:rsidP="00010E94">
      <w:pPr>
        <w:pStyle w:val="ListParagraph"/>
        <w:numPr>
          <w:ilvl w:val="0"/>
          <w:numId w:val="39"/>
        </w:numPr>
      </w:pPr>
      <w:r>
        <w:t>DCP 306 would increase discount percentages for LV end-user demand, and reduce (or leave unchanged) discount percentages in all other cases.</w:t>
      </w:r>
    </w:p>
    <w:p w14:paraId="7B87B135" w14:textId="53276E6E" w:rsidR="001D602B" w:rsidRDefault="001D602B" w:rsidP="00010E94">
      <w:pPr>
        <w:pStyle w:val="ListParagraph"/>
        <w:numPr>
          <w:ilvl w:val="0"/>
          <w:numId w:val="39"/>
        </w:numPr>
      </w:pPr>
      <w:r>
        <w:t>The largest impact is on discount percentages for LV-end user demand with a LV LDNO boundary. For this configuration, the increase in discount percentages caused by DCP 306 would range from 0.22 percentage points to 0.51 percentage points.</w:t>
      </w:r>
    </w:p>
    <w:p w14:paraId="554811EC" w14:textId="48B48293" w:rsidR="001D602B" w:rsidRDefault="00C3726E" w:rsidP="00010E94">
      <w:pPr>
        <w:pStyle w:val="ListParagraph"/>
        <w:numPr>
          <w:ilvl w:val="0"/>
          <w:numId w:val="39"/>
        </w:numPr>
      </w:pPr>
      <w:r>
        <w:t>For LV end-user demand with a HV or HV plus LDNO boundary, the increase in discount percentages caused by DCP 306 would range from 0.05 percentage points to 0.31 percentage points.</w:t>
      </w:r>
    </w:p>
    <w:p w14:paraId="3C9572D0" w14:textId="458221A4" w:rsidR="00C3726E" w:rsidRDefault="00C3726E" w:rsidP="00010E94">
      <w:pPr>
        <w:pStyle w:val="ListParagraph"/>
        <w:numPr>
          <w:ilvl w:val="0"/>
          <w:numId w:val="39"/>
        </w:numPr>
      </w:pPr>
      <w:r>
        <w:t>The largest reduction in discount percentages caused by DCP 306 is 0.12 percentage points this is for HV end user demand with a HV plus LDNO boundary in the Northern Powergrid Northeast area.</w:t>
      </w:r>
    </w:p>
    <w:p w14:paraId="4897CD73" w14:textId="6513E734" w:rsidR="00C3726E" w:rsidRDefault="00C3726E" w:rsidP="00C3726E">
      <w:pPr>
        <w:pStyle w:val="ListParagraph"/>
        <w:numPr>
          <w:ilvl w:val="0"/>
          <w:numId w:val="39"/>
        </w:numPr>
      </w:pPr>
      <w:r>
        <w:t>There are some small increases (up to 0.27 percent) to CDCM end user tariffs in all DNO areas.</w:t>
      </w:r>
    </w:p>
    <w:p w14:paraId="06B6D88E" w14:textId="21B0E554" w:rsidR="00C3726E" w:rsidRPr="00010E94" w:rsidRDefault="00C07897" w:rsidP="00C3726E">
      <w:pPr>
        <w:pStyle w:val="ListParagraph"/>
        <w:numPr>
          <w:ilvl w:val="1"/>
          <w:numId w:val="14"/>
        </w:numPr>
      </w:pPr>
      <w:r>
        <w:t xml:space="preserve">In summary, </w:t>
      </w:r>
      <w:proofErr w:type="gramStart"/>
      <w:r>
        <w:t>the majority of</w:t>
      </w:r>
      <w:proofErr w:type="gramEnd"/>
      <w:r>
        <w:t xml:space="preserve"> the end user tariffs are unaltered, and those that are, in the main result in 0.01p/kwh increase in the unit rate and a 0.001p/MPAN/day increase in the fixed charged rate. </w:t>
      </w:r>
      <w:r w:rsidR="00AD60AF">
        <w:t xml:space="preserve">The full impact assessment can be found in Attachment </w:t>
      </w:r>
      <w:r w:rsidR="00663388">
        <w:t>4</w:t>
      </w:r>
      <w:r w:rsidR="00AD60AF">
        <w:t>.</w:t>
      </w:r>
    </w:p>
    <w:p w14:paraId="4DCC59E3" w14:textId="77777777" w:rsidR="00586BD1" w:rsidRPr="00EB32BB" w:rsidRDefault="00586BD1" w:rsidP="00586BD1">
      <w:pPr>
        <w:pStyle w:val="Heading4"/>
        <w:keepNext w:val="0"/>
        <w:keepLines w:val="0"/>
        <w:spacing w:before="240"/>
        <w:rPr>
          <w:rFonts w:ascii="Arial" w:eastAsia="Times New Roman" w:hAnsi="Arial" w:cs="Arial"/>
          <w:i w:val="0"/>
          <w:iCs w:val="0"/>
          <w:color w:val="008576"/>
          <w:sz w:val="24"/>
          <w:szCs w:val="28"/>
        </w:rPr>
      </w:pPr>
      <w:r>
        <w:rPr>
          <w:rFonts w:ascii="Arial" w:eastAsia="Times New Roman" w:hAnsi="Arial" w:cs="Arial"/>
          <w:i w:val="0"/>
          <w:iCs w:val="0"/>
          <w:color w:val="008576"/>
          <w:sz w:val="24"/>
          <w:szCs w:val="28"/>
        </w:rPr>
        <w:t>Environmental Impacts</w:t>
      </w:r>
    </w:p>
    <w:p w14:paraId="33A143A4" w14:textId="5F73F8C8" w:rsidR="00586BD1" w:rsidRPr="0041741F" w:rsidRDefault="00586BD1" w:rsidP="00586BD1">
      <w:pPr>
        <w:pStyle w:val="Heading2"/>
        <w:numPr>
          <w:ilvl w:val="1"/>
          <w:numId w:val="14"/>
        </w:numPr>
        <w:spacing w:before="240" w:after="60" w:line="360" w:lineRule="auto"/>
        <w:rPr>
          <w:color w:val="auto"/>
          <w:sz w:val="20"/>
          <w:szCs w:val="20"/>
        </w:rPr>
      </w:pPr>
      <w:r w:rsidRPr="0041741F">
        <w:rPr>
          <w:color w:val="auto"/>
          <w:sz w:val="20"/>
          <w:szCs w:val="20"/>
        </w:rPr>
        <w:t xml:space="preserve">In accordance with DCUSA Clause 11.14.6, the </w:t>
      </w:r>
      <w:r w:rsidR="00345728">
        <w:rPr>
          <w:color w:val="auto"/>
          <w:sz w:val="20"/>
          <w:szCs w:val="20"/>
        </w:rPr>
        <w:t>Working Group</w:t>
      </w:r>
      <w:r>
        <w:rPr>
          <w:color w:val="auto"/>
          <w:sz w:val="20"/>
          <w:szCs w:val="20"/>
        </w:rPr>
        <w:t xml:space="preserve"> </w:t>
      </w:r>
      <w:r w:rsidRPr="0041741F">
        <w:rPr>
          <w:color w:val="auto"/>
          <w:sz w:val="20"/>
          <w:szCs w:val="20"/>
        </w:rPr>
        <w:t xml:space="preserve">assessed whether there would be a material impact on greenhouse gas emissions if </w:t>
      </w:r>
      <w:r w:rsidR="001A1E20">
        <w:rPr>
          <w:color w:val="auto"/>
          <w:sz w:val="20"/>
          <w:szCs w:val="20"/>
        </w:rPr>
        <w:t>this CP</w:t>
      </w:r>
      <w:r w:rsidR="00C80BD9">
        <w:rPr>
          <w:color w:val="auto"/>
          <w:sz w:val="20"/>
          <w:szCs w:val="20"/>
        </w:rPr>
        <w:t xml:space="preserve"> </w:t>
      </w:r>
      <w:r w:rsidR="009A1FC2" w:rsidRPr="0041741F">
        <w:rPr>
          <w:color w:val="auto"/>
          <w:sz w:val="20"/>
          <w:szCs w:val="20"/>
        </w:rPr>
        <w:t>w</w:t>
      </w:r>
      <w:r w:rsidR="009A1FC2">
        <w:rPr>
          <w:color w:val="auto"/>
          <w:sz w:val="20"/>
          <w:szCs w:val="20"/>
        </w:rPr>
        <w:t>as</w:t>
      </w:r>
      <w:r w:rsidR="009A1FC2" w:rsidRPr="0041741F">
        <w:rPr>
          <w:color w:val="auto"/>
          <w:sz w:val="20"/>
          <w:szCs w:val="20"/>
        </w:rPr>
        <w:t xml:space="preserve"> </w:t>
      </w:r>
      <w:r w:rsidRPr="0041741F">
        <w:rPr>
          <w:color w:val="auto"/>
          <w:sz w:val="20"/>
          <w:szCs w:val="20"/>
        </w:rPr>
        <w:t xml:space="preserve">implemented. The </w:t>
      </w:r>
      <w:r w:rsidR="00345728">
        <w:rPr>
          <w:color w:val="auto"/>
          <w:sz w:val="20"/>
          <w:szCs w:val="20"/>
        </w:rPr>
        <w:t>Working Group</w:t>
      </w:r>
      <w:r w:rsidRPr="0041741F">
        <w:rPr>
          <w:color w:val="auto"/>
          <w:sz w:val="20"/>
          <w:szCs w:val="20"/>
        </w:rPr>
        <w:t xml:space="preserve"> did not identify any material impact on greenhouse gas emissions from the implementation of this CP.</w:t>
      </w:r>
    </w:p>
    <w:p w14:paraId="4CACACD0" w14:textId="77777777" w:rsidR="00B52063" w:rsidRPr="00B52063" w:rsidRDefault="00B52063" w:rsidP="00832598">
      <w:pPr>
        <w:pStyle w:val="Heading4"/>
        <w:keepNext w:val="0"/>
        <w:keepLines w:val="0"/>
        <w:spacing w:before="240"/>
        <w:rPr>
          <w:rFonts w:ascii="Arial" w:eastAsia="Times New Roman" w:hAnsi="Arial" w:cs="Arial"/>
          <w:i w:val="0"/>
          <w:iCs w:val="0"/>
          <w:color w:val="008576"/>
          <w:sz w:val="24"/>
          <w:szCs w:val="28"/>
        </w:rPr>
      </w:pPr>
      <w:r w:rsidRPr="00B52063">
        <w:rPr>
          <w:rFonts w:ascii="Arial" w:eastAsia="Times New Roman" w:hAnsi="Arial" w:cs="Arial"/>
          <w:i w:val="0"/>
          <w:iCs w:val="0"/>
          <w:color w:val="008576"/>
          <w:sz w:val="24"/>
          <w:szCs w:val="28"/>
        </w:rPr>
        <w:t>Engagement with the Authority</w:t>
      </w:r>
    </w:p>
    <w:p w14:paraId="176E9749" w14:textId="21C90774" w:rsidR="002733C1" w:rsidRDefault="002733C1" w:rsidP="00832598">
      <w:pPr>
        <w:pStyle w:val="Heading2"/>
        <w:keepNext w:val="0"/>
        <w:numPr>
          <w:ilvl w:val="1"/>
          <w:numId w:val="14"/>
        </w:numPr>
        <w:spacing w:before="240" w:after="60" w:line="360" w:lineRule="auto"/>
        <w:rPr>
          <w:rFonts w:cs="Times New Roman"/>
          <w:bCs w:val="0"/>
          <w:iCs w:val="0"/>
          <w:color w:val="auto"/>
          <w:sz w:val="20"/>
          <w:szCs w:val="24"/>
        </w:rPr>
      </w:pPr>
      <w:r w:rsidRPr="002733C1">
        <w:rPr>
          <w:rFonts w:cs="Times New Roman"/>
          <w:bCs w:val="0"/>
          <w:iCs w:val="0"/>
          <w:color w:val="auto"/>
          <w:sz w:val="20"/>
          <w:szCs w:val="24"/>
        </w:rPr>
        <w:t>Ofgem has been fully engaged thro</w:t>
      </w:r>
      <w:r w:rsidR="00291586">
        <w:rPr>
          <w:rFonts w:cs="Times New Roman"/>
          <w:bCs w:val="0"/>
          <w:iCs w:val="0"/>
          <w:color w:val="auto"/>
          <w:sz w:val="20"/>
          <w:szCs w:val="24"/>
        </w:rPr>
        <w:t>u</w:t>
      </w:r>
      <w:r w:rsidR="00335479">
        <w:rPr>
          <w:rFonts w:cs="Times New Roman"/>
          <w:bCs w:val="0"/>
          <w:iCs w:val="0"/>
          <w:color w:val="auto"/>
          <w:sz w:val="20"/>
          <w:szCs w:val="24"/>
        </w:rPr>
        <w:t xml:space="preserve">ghout the development of </w:t>
      </w:r>
      <w:r w:rsidR="001A1E20">
        <w:rPr>
          <w:rFonts w:cs="Times New Roman"/>
          <w:bCs w:val="0"/>
          <w:iCs w:val="0"/>
          <w:color w:val="auto"/>
          <w:sz w:val="20"/>
          <w:szCs w:val="24"/>
        </w:rPr>
        <w:t>this CP</w:t>
      </w:r>
      <w:r w:rsidRPr="002733C1">
        <w:rPr>
          <w:rFonts w:cs="Times New Roman"/>
          <w:bCs w:val="0"/>
          <w:iCs w:val="0"/>
          <w:color w:val="auto"/>
          <w:sz w:val="20"/>
          <w:szCs w:val="24"/>
        </w:rPr>
        <w:t xml:space="preserve"> as a</w:t>
      </w:r>
      <w:r w:rsidR="00335479">
        <w:rPr>
          <w:rFonts w:cs="Times New Roman"/>
          <w:bCs w:val="0"/>
          <w:iCs w:val="0"/>
          <w:color w:val="auto"/>
          <w:sz w:val="20"/>
          <w:szCs w:val="24"/>
        </w:rPr>
        <w:t>n observer on</w:t>
      </w:r>
      <w:r w:rsidRPr="002733C1">
        <w:rPr>
          <w:rFonts w:cs="Times New Roman"/>
          <w:bCs w:val="0"/>
          <w:iCs w:val="0"/>
          <w:color w:val="auto"/>
          <w:sz w:val="20"/>
          <w:szCs w:val="24"/>
        </w:rPr>
        <w:t xml:space="preserve"> the Working Group.</w:t>
      </w:r>
    </w:p>
    <w:tbl>
      <w:tblPr>
        <w:tblStyle w:val="TableList2"/>
        <w:tblW w:w="0" w:type="auto"/>
        <w:tblLook w:val="04A0" w:firstRow="1" w:lastRow="0" w:firstColumn="1" w:lastColumn="0" w:noHBand="0" w:noVBand="1"/>
      </w:tblPr>
      <w:tblGrid>
        <w:gridCol w:w="9346"/>
      </w:tblGrid>
      <w:tr w:rsidR="005373FB" w14:paraId="2A5B73CC" w14:textId="77777777" w:rsidTr="005373FB">
        <w:trPr>
          <w:cnfStyle w:val="100000000000" w:firstRow="1" w:lastRow="0" w:firstColumn="0" w:lastColumn="0" w:oddVBand="0" w:evenVBand="0" w:oddHBand="0" w:evenHBand="0" w:firstRowFirstColumn="0" w:firstRowLastColumn="0" w:lastRowFirstColumn="0" w:lastRowLastColumn="0"/>
        </w:trPr>
        <w:tc>
          <w:tcPr>
            <w:tcW w:w="9346" w:type="dxa"/>
          </w:tcPr>
          <w:p w14:paraId="69818F18" w14:textId="2CBB90A6" w:rsidR="005373FB" w:rsidRDefault="005373FB" w:rsidP="005373FB">
            <w:r>
              <w:t>Q5: Do you have any further comments for the Working Group?</w:t>
            </w:r>
          </w:p>
        </w:tc>
      </w:tr>
    </w:tbl>
    <w:p w14:paraId="382FB765" w14:textId="77777777" w:rsidR="005373FB" w:rsidRPr="005373FB" w:rsidRDefault="005373FB" w:rsidP="005373FB"/>
    <w:p w14:paraId="70EF8867" w14:textId="53A5ED6C" w:rsidR="005930F8" w:rsidRPr="005930F8" w:rsidRDefault="005930F8" w:rsidP="005930F8"/>
    <w:p w14:paraId="3050D167" w14:textId="77777777" w:rsidR="00450385" w:rsidRPr="00EB32BB" w:rsidRDefault="00C31A20" w:rsidP="00CC0C7A">
      <w:pPr>
        <w:pStyle w:val="Heading02"/>
        <w:keepNext w:val="0"/>
        <w:numPr>
          <w:ilvl w:val="0"/>
          <w:numId w:val="14"/>
        </w:numPr>
        <w:rPr>
          <w:noProof/>
        </w:rPr>
      </w:pPr>
      <w:bookmarkStart w:id="24" w:name="_Toc318962140"/>
      <w:bookmarkStart w:id="25" w:name="_Toc453107803"/>
      <w:bookmarkStart w:id="26" w:name="_Toc492567091"/>
      <w:r w:rsidRPr="00EB32BB">
        <w:rPr>
          <w:noProof/>
        </w:rPr>
        <w:t>Imple</w:t>
      </w:r>
      <w:r w:rsidR="00461C2F" w:rsidRPr="00EB32BB">
        <w:rPr>
          <w:noProof/>
        </w:rPr>
        <w:t>me</w:t>
      </w:r>
      <w:r w:rsidRPr="00EB32BB">
        <w:rPr>
          <w:noProof/>
        </w:rPr>
        <w:t>ntation</w:t>
      </w:r>
      <w:bookmarkEnd w:id="24"/>
      <w:bookmarkEnd w:id="25"/>
      <w:bookmarkEnd w:id="26"/>
    </w:p>
    <w:p w14:paraId="277E2B2B" w14:textId="34F7F018" w:rsidR="00B708FB" w:rsidRDefault="00642EBA" w:rsidP="00CC0C7A">
      <w:pPr>
        <w:pStyle w:val="Heading2"/>
        <w:keepNext w:val="0"/>
        <w:numPr>
          <w:ilvl w:val="1"/>
          <w:numId w:val="14"/>
        </w:numPr>
        <w:spacing w:before="240" w:after="60" w:line="360" w:lineRule="auto"/>
        <w:rPr>
          <w:rFonts w:cs="Times New Roman"/>
          <w:bCs w:val="0"/>
          <w:iCs w:val="0"/>
          <w:color w:val="auto"/>
          <w:sz w:val="20"/>
          <w:szCs w:val="24"/>
        </w:rPr>
      </w:pPr>
      <w:r>
        <w:rPr>
          <w:rFonts w:cs="Times New Roman"/>
          <w:bCs w:val="0"/>
          <w:iCs w:val="0"/>
          <w:color w:val="auto"/>
          <w:sz w:val="20"/>
          <w:szCs w:val="24"/>
        </w:rPr>
        <w:t xml:space="preserve">The original proposed implementation date for </w:t>
      </w:r>
      <w:r w:rsidR="001A1E20">
        <w:rPr>
          <w:rFonts w:cs="Times New Roman"/>
          <w:bCs w:val="0"/>
          <w:iCs w:val="0"/>
          <w:color w:val="auto"/>
          <w:sz w:val="20"/>
          <w:szCs w:val="24"/>
        </w:rPr>
        <w:t xml:space="preserve">this CP </w:t>
      </w:r>
      <w:r>
        <w:rPr>
          <w:rFonts w:cs="Times New Roman"/>
          <w:bCs w:val="0"/>
          <w:iCs w:val="0"/>
          <w:color w:val="auto"/>
          <w:sz w:val="20"/>
          <w:szCs w:val="24"/>
        </w:rPr>
        <w:t xml:space="preserve">was 01 April 2019. </w:t>
      </w:r>
      <w:r w:rsidR="00AD111B">
        <w:rPr>
          <w:rFonts w:cs="Times New Roman"/>
          <w:bCs w:val="0"/>
          <w:iCs w:val="0"/>
          <w:color w:val="auto"/>
          <w:sz w:val="20"/>
          <w:szCs w:val="24"/>
        </w:rPr>
        <w:t xml:space="preserve">However, on further reflection the Working Group agreed that this could be too ambitious and agreed that the implementation date would be </w:t>
      </w:r>
      <w:r w:rsidR="00642E23">
        <w:rPr>
          <w:rFonts w:cs="Times New Roman"/>
          <w:bCs w:val="0"/>
          <w:iCs w:val="0"/>
          <w:color w:val="auto"/>
          <w:sz w:val="20"/>
          <w:szCs w:val="24"/>
        </w:rPr>
        <w:t>more feasible on 01 April 2020.</w:t>
      </w:r>
    </w:p>
    <w:p w14:paraId="505CF809" w14:textId="25FD9C7A" w:rsidR="00642E23" w:rsidRPr="00642E23" w:rsidRDefault="00642E23" w:rsidP="00642E23">
      <w:pPr>
        <w:pStyle w:val="ListParagraph"/>
        <w:numPr>
          <w:ilvl w:val="1"/>
          <w:numId w:val="14"/>
        </w:numPr>
      </w:pPr>
      <w:r>
        <w:t>Respondents to the first consultation agreed that an implementation date of 01 April 2020 would be the most feasible date</w:t>
      </w:r>
      <w:r w:rsidR="001A1E20">
        <w:t>, and as such is the date the Working Group are proposing.</w:t>
      </w:r>
    </w:p>
    <w:p w14:paraId="6A76A5F8" w14:textId="563E0EF6" w:rsidR="005930F8" w:rsidRPr="005930F8" w:rsidRDefault="005930F8" w:rsidP="005930F8"/>
    <w:p w14:paraId="64C9F9F3" w14:textId="77777777" w:rsidR="00CC0C7A" w:rsidRPr="00EB32BB" w:rsidRDefault="00CC0C7A" w:rsidP="00CC0C7A">
      <w:pPr>
        <w:pStyle w:val="Heading02"/>
        <w:numPr>
          <w:ilvl w:val="0"/>
          <w:numId w:val="14"/>
        </w:numPr>
      </w:pPr>
      <w:bookmarkStart w:id="27" w:name="_Toc492567092"/>
      <w:r>
        <w:t>Consultation Questions</w:t>
      </w:r>
      <w:bookmarkEnd w:id="27"/>
    </w:p>
    <w:p w14:paraId="3386DDD5" w14:textId="77777777" w:rsidR="002733C1" w:rsidRDefault="00CC0C7A" w:rsidP="00CC0C7A">
      <w:pPr>
        <w:pStyle w:val="Heading2"/>
        <w:numPr>
          <w:ilvl w:val="1"/>
          <w:numId w:val="14"/>
        </w:numPr>
        <w:spacing w:before="240" w:after="60" w:line="360" w:lineRule="auto"/>
        <w:rPr>
          <w:rFonts w:cs="Times New Roman"/>
          <w:bCs w:val="0"/>
          <w:iCs w:val="0"/>
          <w:color w:val="auto"/>
          <w:sz w:val="20"/>
          <w:szCs w:val="24"/>
        </w:rPr>
      </w:pPr>
      <w:r w:rsidRPr="00CC0C7A">
        <w:rPr>
          <w:rFonts w:cs="Times New Roman"/>
          <w:bCs w:val="0"/>
          <w:iCs w:val="0"/>
          <w:color w:val="auto"/>
          <w:sz w:val="20"/>
          <w:szCs w:val="24"/>
        </w:rPr>
        <w:t>The Working Group is seeking industry views on the following consultation questions:</w:t>
      </w:r>
    </w:p>
    <w:tbl>
      <w:tblPr>
        <w:tblW w:w="9488" w:type="dxa"/>
        <w:tblBorders>
          <w:top w:val="single" w:sz="8" w:space="0" w:color="008576"/>
          <w:left w:val="single" w:sz="8" w:space="0" w:color="008576"/>
          <w:bottom w:val="single" w:sz="8" w:space="0" w:color="008576"/>
          <w:right w:val="single" w:sz="8" w:space="0" w:color="008576"/>
          <w:insideH w:val="single" w:sz="8" w:space="0" w:color="008576"/>
          <w:insideV w:val="single" w:sz="8" w:space="0" w:color="008576"/>
        </w:tblBorders>
        <w:tblLook w:val="04A0" w:firstRow="1" w:lastRow="0" w:firstColumn="1" w:lastColumn="0" w:noHBand="0" w:noVBand="1"/>
      </w:tblPr>
      <w:tblGrid>
        <w:gridCol w:w="972"/>
        <w:gridCol w:w="8516"/>
      </w:tblGrid>
      <w:tr w:rsidR="00AD59E1" w:rsidRPr="00AD59E1" w14:paraId="6439CC8A" w14:textId="77777777" w:rsidTr="00642E23">
        <w:tc>
          <w:tcPr>
            <w:tcW w:w="0" w:type="auto"/>
            <w:shd w:val="clear" w:color="auto" w:fill="008576"/>
          </w:tcPr>
          <w:p w14:paraId="57F90633" w14:textId="77777777" w:rsidR="00AD59E1" w:rsidRPr="00AD59E1" w:rsidRDefault="00AD59E1" w:rsidP="00AD59E1">
            <w:pPr>
              <w:rPr>
                <w:b/>
                <w:color w:val="FFFFFF"/>
              </w:rPr>
            </w:pPr>
            <w:r w:rsidRPr="00AD59E1">
              <w:rPr>
                <w:b/>
                <w:color w:val="FFFFFF"/>
              </w:rPr>
              <w:t>Number</w:t>
            </w:r>
          </w:p>
        </w:tc>
        <w:tc>
          <w:tcPr>
            <w:tcW w:w="8516" w:type="dxa"/>
            <w:shd w:val="clear" w:color="auto" w:fill="008576"/>
          </w:tcPr>
          <w:p w14:paraId="076FB9DB" w14:textId="77777777" w:rsidR="00AD59E1" w:rsidRPr="00AD59E1" w:rsidRDefault="00AD59E1" w:rsidP="00AD59E1">
            <w:pPr>
              <w:rPr>
                <w:b/>
                <w:color w:val="FFFFFF"/>
              </w:rPr>
            </w:pPr>
            <w:r w:rsidRPr="00AD59E1">
              <w:rPr>
                <w:b/>
                <w:color w:val="FFFFFF"/>
              </w:rPr>
              <w:t>Questions</w:t>
            </w:r>
          </w:p>
        </w:tc>
      </w:tr>
      <w:tr w:rsidR="00AD59E1" w:rsidRPr="00AD59E1" w14:paraId="54B147DC" w14:textId="77777777" w:rsidTr="00642E23">
        <w:tc>
          <w:tcPr>
            <w:tcW w:w="0" w:type="auto"/>
            <w:shd w:val="clear" w:color="auto" w:fill="auto"/>
          </w:tcPr>
          <w:p w14:paraId="1868BD00" w14:textId="77777777" w:rsidR="00AD59E1" w:rsidRPr="00AD59E1" w:rsidRDefault="00AD59E1" w:rsidP="00AD59E1">
            <w:pPr>
              <w:numPr>
                <w:ilvl w:val="0"/>
                <w:numId w:val="29"/>
              </w:numPr>
              <w:rPr>
                <w:rFonts w:cs="Arial"/>
                <w:szCs w:val="20"/>
              </w:rPr>
            </w:pPr>
          </w:p>
        </w:tc>
        <w:tc>
          <w:tcPr>
            <w:tcW w:w="8516" w:type="dxa"/>
            <w:shd w:val="clear" w:color="auto" w:fill="auto"/>
          </w:tcPr>
          <w:p w14:paraId="05276DF0" w14:textId="031AB3F2" w:rsidR="00AD59E1" w:rsidRPr="00AD59E1" w:rsidRDefault="001A1E20" w:rsidP="00F11F92">
            <w:pPr>
              <w:widowControl w:val="0"/>
              <w:spacing w:line="360" w:lineRule="auto"/>
              <w:jc w:val="both"/>
              <w:outlineLvl w:val="1"/>
              <w:rPr>
                <w:rFonts w:cs="Arial"/>
                <w:bCs/>
                <w:iCs/>
                <w:szCs w:val="20"/>
              </w:rPr>
            </w:pPr>
            <w:r w:rsidRPr="005373FB">
              <w:rPr>
                <w:szCs w:val="20"/>
              </w:rPr>
              <w:t xml:space="preserve">Are Parties comfortable with the approach proposed by the Working Group to allocate the Ofgem </w:t>
            </w:r>
            <w:r w:rsidR="00F91525" w:rsidRPr="005373FB">
              <w:rPr>
                <w:szCs w:val="20"/>
              </w:rPr>
              <w:t>l</w:t>
            </w:r>
            <w:r w:rsidRPr="005373FB">
              <w:rPr>
                <w:szCs w:val="20"/>
              </w:rPr>
              <w:t xml:space="preserve">icence </w:t>
            </w:r>
            <w:r w:rsidR="00F91525" w:rsidRPr="005373FB">
              <w:rPr>
                <w:szCs w:val="20"/>
              </w:rPr>
              <w:t>f</w:t>
            </w:r>
            <w:r w:rsidRPr="005373FB">
              <w:rPr>
                <w:szCs w:val="20"/>
              </w:rPr>
              <w:t>ees to the LV Service Customers rather than allocating them across all voltage levels?</w:t>
            </w:r>
            <w:r w:rsidR="009A1FC2" w:rsidRPr="005373FB">
              <w:rPr>
                <w:szCs w:val="20"/>
              </w:rPr>
              <w:t xml:space="preserve"> If not</w:t>
            </w:r>
            <w:r w:rsidR="005373FB">
              <w:rPr>
                <w:szCs w:val="20"/>
              </w:rPr>
              <w:t>,</w:t>
            </w:r>
            <w:r w:rsidR="009A1FC2" w:rsidRPr="005373FB">
              <w:rPr>
                <w:szCs w:val="20"/>
              </w:rPr>
              <w:t xml:space="preserve"> provide your rationale.</w:t>
            </w:r>
          </w:p>
        </w:tc>
      </w:tr>
      <w:tr w:rsidR="002F6A92" w:rsidRPr="00AD59E1" w14:paraId="704FE946" w14:textId="77777777" w:rsidTr="00642E23">
        <w:tc>
          <w:tcPr>
            <w:tcW w:w="0" w:type="auto"/>
            <w:shd w:val="clear" w:color="auto" w:fill="auto"/>
          </w:tcPr>
          <w:p w14:paraId="301E9B30" w14:textId="77777777" w:rsidR="002F6A92" w:rsidRPr="005373FB" w:rsidRDefault="002F6A92" w:rsidP="00AD59E1">
            <w:pPr>
              <w:numPr>
                <w:ilvl w:val="0"/>
                <w:numId w:val="29"/>
              </w:numPr>
              <w:rPr>
                <w:rFonts w:cs="Arial"/>
                <w:szCs w:val="20"/>
              </w:rPr>
            </w:pPr>
          </w:p>
        </w:tc>
        <w:tc>
          <w:tcPr>
            <w:tcW w:w="8516" w:type="dxa"/>
            <w:shd w:val="clear" w:color="auto" w:fill="auto"/>
          </w:tcPr>
          <w:p w14:paraId="2134593B" w14:textId="33CB7457" w:rsidR="002F6A92" w:rsidRPr="005373FB" w:rsidRDefault="001A1E20" w:rsidP="00F11F92">
            <w:pPr>
              <w:widowControl w:val="0"/>
              <w:spacing w:line="360" w:lineRule="auto"/>
              <w:jc w:val="both"/>
              <w:outlineLvl w:val="1"/>
              <w:rPr>
                <w:rFonts w:cs="Arial"/>
                <w:bCs/>
                <w:iCs/>
                <w:szCs w:val="20"/>
              </w:rPr>
            </w:pPr>
            <w:r w:rsidRPr="005373FB">
              <w:t>Do you have any comments on the proposed legal text?</w:t>
            </w:r>
          </w:p>
        </w:tc>
      </w:tr>
      <w:tr w:rsidR="001A1E20" w:rsidRPr="00AD59E1" w14:paraId="4665EDF0" w14:textId="77777777" w:rsidTr="00642E23">
        <w:tc>
          <w:tcPr>
            <w:tcW w:w="0" w:type="auto"/>
            <w:shd w:val="clear" w:color="auto" w:fill="auto"/>
          </w:tcPr>
          <w:p w14:paraId="3FA5D8C3" w14:textId="77777777" w:rsidR="001A1E20" w:rsidRPr="005373FB" w:rsidRDefault="001A1E20" w:rsidP="00AD59E1">
            <w:pPr>
              <w:numPr>
                <w:ilvl w:val="0"/>
                <w:numId w:val="29"/>
              </w:numPr>
              <w:rPr>
                <w:rFonts w:cs="Arial"/>
                <w:szCs w:val="20"/>
              </w:rPr>
            </w:pPr>
          </w:p>
        </w:tc>
        <w:tc>
          <w:tcPr>
            <w:tcW w:w="8516" w:type="dxa"/>
            <w:shd w:val="clear" w:color="auto" w:fill="auto"/>
          </w:tcPr>
          <w:p w14:paraId="5879740D" w14:textId="27F07EC6" w:rsidR="001A1E20" w:rsidRPr="005373FB" w:rsidRDefault="001A1E20" w:rsidP="00F11F92">
            <w:pPr>
              <w:widowControl w:val="0"/>
              <w:spacing w:line="360" w:lineRule="auto"/>
              <w:jc w:val="both"/>
              <w:outlineLvl w:val="1"/>
            </w:pPr>
            <w:r w:rsidRPr="005373FB">
              <w:rPr>
                <w:rFonts w:cs="Arial"/>
                <w:bCs/>
                <w:iCs/>
                <w:szCs w:val="20"/>
              </w:rPr>
              <w:t>Which of the DCUSA Charging Objectives are better facilitated by this change? Please provide your rationale.</w:t>
            </w:r>
          </w:p>
        </w:tc>
      </w:tr>
      <w:tr w:rsidR="001A1E20" w:rsidRPr="00AD59E1" w14:paraId="6E943111" w14:textId="77777777" w:rsidTr="00642E23">
        <w:tc>
          <w:tcPr>
            <w:tcW w:w="0" w:type="auto"/>
            <w:shd w:val="clear" w:color="auto" w:fill="auto"/>
          </w:tcPr>
          <w:p w14:paraId="4B8992EB" w14:textId="77777777" w:rsidR="001A1E20" w:rsidRPr="005373FB" w:rsidRDefault="001A1E20" w:rsidP="00AD59E1">
            <w:pPr>
              <w:numPr>
                <w:ilvl w:val="0"/>
                <w:numId w:val="29"/>
              </w:numPr>
              <w:rPr>
                <w:rFonts w:cs="Arial"/>
                <w:szCs w:val="20"/>
              </w:rPr>
            </w:pPr>
          </w:p>
        </w:tc>
        <w:tc>
          <w:tcPr>
            <w:tcW w:w="8516" w:type="dxa"/>
            <w:shd w:val="clear" w:color="auto" w:fill="auto"/>
          </w:tcPr>
          <w:p w14:paraId="77D62D49" w14:textId="785AB093" w:rsidR="001A1E20" w:rsidRPr="005373FB" w:rsidRDefault="001A1E20" w:rsidP="00F11F92">
            <w:pPr>
              <w:widowControl w:val="0"/>
              <w:spacing w:line="360" w:lineRule="auto"/>
              <w:jc w:val="both"/>
              <w:outlineLvl w:val="1"/>
              <w:rPr>
                <w:rFonts w:cs="Arial"/>
                <w:bCs/>
                <w:iCs/>
                <w:szCs w:val="20"/>
              </w:rPr>
            </w:pPr>
            <w:r w:rsidRPr="005373FB">
              <w:t>Do you agree that the change should continue to be assessed via the DCUSA Change Process and not the SCR, CFF or wider Task Forces?</w:t>
            </w:r>
          </w:p>
        </w:tc>
      </w:tr>
      <w:tr w:rsidR="001A1E20" w:rsidRPr="00AD59E1" w14:paraId="45DD494A" w14:textId="77777777" w:rsidTr="00642E23">
        <w:tc>
          <w:tcPr>
            <w:tcW w:w="0" w:type="auto"/>
            <w:shd w:val="clear" w:color="auto" w:fill="auto"/>
          </w:tcPr>
          <w:p w14:paraId="31160D56" w14:textId="77777777" w:rsidR="001A1E20" w:rsidRPr="00AD59E1" w:rsidRDefault="001A1E20" w:rsidP="00AD59E1">
            <w:pPr>
              <w:numPr>
                <w:ilvl w:val="0"/>
                <w:numId w:val="29"/>
              </w:numPr>
              <w:rPr>
                <w:rFonts w:cs="Arial"/>
                <w:szCs w:val="20"/>
              </w:rPr>
            </w:pPr>
          </w:p>
        </w:tc>
        <w:tc>
          <w:tcPr>
            <w:tcW w:w="8516" w:type="dxa"/>
            <w:shd w:val="clear" w:color="auto" w:fill="auto"/>
          </w:tcPr>
          <w:p w14:paraId="360A57F6" w14:textId="6F50360D" w:rsidR="001A1E20" w:rsidRDefault="001A1E20" w:rsidP="00F11F92">
            <w:pPr>
              <w:widowControl w:val="0"/>
              <w:spacing w:line="360" w:lineRule="auto"/>
              <w:jc w:val="both"/>
              <w:outlineLvl w:val="1"/>
            </w:pPr>
            <w:r>
              <w:t>Do you have any other comments for the Working Group?</w:t>
            </w:r>
          </w:p>
        </w:tc>
      </w:tr>
    </w:tbl>
    <w:p w14:paraId="5670821C" w14:textId="3F1998A6" w:rsidR="00CC0C7A" w:rsidRPr="00CC0C7A" w:rsidRDefault="00CC0C7A" w:rsidP="00CC0C7A">
      <w:pPr>
        <w:pStyle w:val="Heading2"/>
        <w:numPr>
          <w:ilvl w:val="1"/>
          <w:numId w:val="14"/>
        </w:numPr>
        <w:spacing w:before="240" w:after="60" w:line="360" w:lineRule="auto"/>
        <w:rPr>
          <w:rFonts w:cs="Times New Roman"/>
          <w:bCs w:val="0"/>
          <w:iCs w:val="0"/>
          <w:color w:val="auto"/>
          <w:sz w:val="20"/>
          <w:szCs w:val="24"/>
        </w:rPr>
      </w:pPr>
      <w:r w:rsidRPr="00CC0C7A">
        <w:rPr>
          <w:rFonts w:cs="Times New Roman"/>
          <w:bCs w:val="0"/>
          <w:iCs w:val="0"/>
          <w:color w:val="auto"/>
          <w:sz w:val="20"/>
          <w:szCs w:val="24"/>
        </w:rPr>
        <w:t>Responses should</w:t>
      </w:r>
      <w:r>
        <w:rPr>
          <w:rFonts w:cs="Times New Roman"/>
          <w:bCs w:val="0"/>
          <w:iCs w:val="0"/>
          <w:color w:val="auto"/>
          <w:sz w:val="20"/>
          <w:szCs w:val="24"/>
        </w:rPr>
        <w:t xml:space="preserve"> </w:t>
      </w:r>
      <w:r w:rsidR="00F11F92">
        <w:rPr>
          <w:rFonts w:cs="Times New Roman"/>
          <w:bCs w:val="0"/>
          <w:iCs w:val="0"/>
          <w:color w:val="auto"/>
          <w:sz w:val="20"/>
          <w:szCs w:val="24"/>
        </w:rPr>
        <w:t>be submitted using Attachment 1</w:t>
      </w:r>
      <w:r w:rsidRPr="00CC0C7A">
        <w:rPr>
          <w:rFonts w:cs="Times New Roman"/>
          <w:bCs w:val="0"/>
          <w:iCs w:val="0"/>
          <w:color w:val="auto"/>
          <w:sz w:val="20"/>
          <w:szCs w:val="24"/>
        </w:rPr>
        <w:t xml:space="preserve"> to dcusa</w:t>
      </w:r>
      <w:r w:rsidR="00A03894">
        <w:rPr>
          <w:rFonts w:cs="Times New Roman"/>
          <w:bCs w:val="0"/>
          <w:iCs w:val="0"/>
          <w:color w:val="auto"/>
          <w:sz w:val="20"/>
          <w:szCs w:val="24"/>
        </w:rPr>
        <w:t>@electrali</w:t>
      </w:r>
      <w:r w:rsidR="00E40A1A">
        <w:rPr>
          <w:rFonts w:cs="Times New Roman"/>
          <w:bCs w:val="0"/>
          <w:iCs w:val="0"/>
          <w:color w:val="auto"/>
          <w:sz w:val="20"/>
          <w:szCs w:val="24"/>
        </w:rPr>
        <w:t>nk.co.</w:t>
      </w:r>
      <w:r w:rsidR="00642E23">
        <w:rPr>
          <w:rFonts w:cs="Times New Roman"/>
          <w:bCs w:val="0"/>
          <w:iCs w:val="0"/>
          <w:color w:val="auto"/>
          <w:sz w:val="20"/>
          <w:szCs w:val="24"/>
        </w:rPr>
        <w:t xml:space="preserve">uk no later than </w:t>
      </w:r>
      <w:commentRangeStart w:id="28"/>
      <w:r w:rsidR="00642E23" w:rsidRPr="00642E23">
        <w:rPr>
          <w:rFonts w:cs="Times New Roman"/>
          <w:bCs w:val="0"/>
          <w:iCs w:val="0"/>
          <w:color w:val="auto"/>
          <w:sz w:val="20"/>
          <w:szCs w:val="24"/>
          <w:highlight w:val="yellow"/>
        </w:rPr>
        <w:t xml:space="preserve">xx </w:t>
      </w:r>
      <w:commentRangeEnd w:id="28"/>
      <w:r w:rsidR="00AD60AF">
        <w:rPr>
          <w:rStyle w:val="CommentReference"/>
          <w:rFonts w:cs="Times New Roman"/>
          <w:bCs w:val="0"/>
          <w:iCs w:val="0"/>
          <w:color w:val="auto"/>
        </w:rPr>
        <w:commentReference w:id="28"/>
      </w:r>
      <w:r w:rsidR="00642E23" w:rsidRPr="00642E23">
        <w:rPr>
          <w:rFonts w:cs="Times New Roman"/>
          <w:bCs w:val="0"/>
          <w:iCs w:val="0"/>
          <w:color w:val="auto"/>
          <w:sz w:val="20"/>
          <w:szCs w:val="24"/>
          <w:highlight w:val="yellow"/>
        </w:rPr>
        <w:t>xxx xx</w:t>
      </w:r>
      <w:r w:rsidR="006248E3" w:rsidRPr="00642E23">
        <w:rPr>
          <w:rFonts w:cs="Times New Roman"/>
          <w:bCs w:val="0"/>
          <w:iCs w:val="0"/>
          <w:color w:val="auto"/>
          <w:sz w:val="20"/>
          <w:szCs w:val="24"/>
          <w:highlight w:val="yellow"/>
        </w:rPr>
        <w:t>.</w:t>
      </w:r>
      <w:r w:rsidRPr="00CC0C7A">
        <w:rPr>
          <w:rFonts w:cs="Times New Roman"/>
          <w:bCs w:val="0"/>
          <w:iCs w:val="0"/>
          <w:color w:val="auto"/>
          <w:sz w:val="20"/>
          <w:szCs w:val="24"/>
        </w:rPr>
        <w:t xml:space="preserve"> </w:t>
      </w:r>
    </w:p>
    <w:p w14:paraId="353C518D" w14:textId="77777777" w:rsidR="00CC0C7A" w:rsidRPr="00CC0C7A" w:rsidRDefault="00CC0C7A" w:rsidP="00CC0C7A">
      <w:pPr>
        <w:pStyle w:val="Heading2"/>
        <w:numPr>
          <w:ilvl w:val="1"/>
          <w:numId w:val="14"/>
        </w:numPr>
        <w:spacing w:before="240" w:after="60" w:line="360" w:lineRule="auto"/>
        <w:rPr>
          <w:rFonts w:cs="Times New Roman"/>
          <w:bCs w:val="0"/>
          <w:iCs w:val="0"/>
          <w:color w:val="auto"/>
          <w:sz w:val="20"/>
          <w:szCs w:val="24"/>
        </w:rPr>
      </w:pPr>
      <w:r w:rsidRPr="00CC0C7A">
        <w:rPr>
          <w:rFonts w:cs="Times New Roman"/>
          <w:bCs w:val="0"/>
          <w:iCs w:val="0"/>
          <w:color w:val="auto"/>
          <w:sz w:val="20"/>
          <w:szCs w:val="24"/>
        </w:rPr>
        <w:t>Responses, or any part thereof, can be provided in confidence. Parties are asked to clearly indicate any parts of a response that are to be treated confidentially.</w:t>
      </w:r>
    </w:p>
    <w:p w14:paraId="66115ED8" w14:textId="77777777" w:rsidR="002733C1" w:rsidRPr="00D1342E" w:rsidRDefault="002733C1" w:rsidP="002733C1">
      <w:pPr>
        <w:pStyle w:val="Heading4"/>
        <w:keepLines w:val="0"/>
        <w:spacing w:before="240"/>
        <w:rPr>
          <w:rFonts w:ascii="Arial" w:eastAsia="Times New Roman" w:hAnsi="Arial" w:cs="Arial"/>
          <w:i w:val="0"/>
          <w:iCs w:val="0"/>
          <w:color w:val="008576"/>
          <w:sz w:val="24"/>
          <w:szCs w:val="28"/>
        </w:rPr>
      </w:pPr>
      <w:r w:rsidRPr="00D1342E">
        <w:rPr>
          <w:rFonts w:ascii="Arial" w:eastAsia="Times New Roman" w:hAnsi="Arial" w:cs="Arial"/>
          <w:i w:val="0"/>
          <w:iCs w:val="0"/>
          <w:color w:val="008576"/>
          <w:sz w:val="24"/>
          <w:szCs w:val="28"/>
        </w:rPr>
        <w:t xml:space="preserve">Attachments </w:t>
      </w:r>
    </w:p>
    <w:p w14:paraId="43706F64" w14:textId="6569997B" w:rsidR="00071B36" w:rsidRDefault="00071B36" w:rsidP="00071B36">
      <w:pPr>
        <w:pStyle w:val="ListBullet2"/>
      </w:pPr>
      <w:r>
        <w:t xml:space="preserve">Attachment 1 </w:t>
      </w:r>
      <w:r w:rsidR="009A1FC2">
        <w:t xml:space="preserve">- DCUSA </w:t>
      </w:r>
      <w:r w:rsidR="005373FB">
        <w:t>Consultation Response</w:t>
      </w:r>
      <w:r w:rsidR="009A1FC2">
        <w:t xml:space="preserve"> form</w:t>
      </w:r>
    </w:p>
    <w:p w14:paraId="28F44FC1" w14:textId="710F93AD" w:rsidR="009A1FC2" w:rsidRDefault="009A1FC2" w:rsidP="00071B36">
      <w:pPr>
        <w:pStyle w:val="ListBullet2"/>
      </w:pPr>
      <w:r>
        <w:t xml:space="preserve">Attachment 2 – </w:t>
      </w:r>
      <w:r w:rsidR="005373FB">
        <w:t xml:space="preserve">DCP 306 </w:t>
      </w:r>
      <w:r>
        <w:t>Consultation 1</w:t>
      </w:r>
    </w:p>
    <w:p w14:paraId="1017C302" w14:textId="66C85FEE" w:rsidR="00642E23" w:rsidRDefault="009A1FC2" w:rsidP="00C345E1">
      <w:pPr>
        <w:pStyle w:val="ListBullet2"/>
      </w:pPr>
      <w:r>
        <w:t xml:space="preserve">Attachment </w:t>
      </w:r>
      <w:r w:rsidR="00663388">
        <w:t>3</w:t>
      </w:r>
      <w:r>
        <w:t xml:space="preserve"> – </w:t>
      </w:r>
      <w:r w:rsidR="005373FB">
        <w:t xml:space="preserve">DCP 306 Proposed </w:t>
      </w:r>
      <w:r>
        <w:t>Legal text</w:t>
      </w:r>
    </w:p>
    <w:p w14:paraId="7653FC1A" w14:textId="56BBEDDC" w:rsidR="009A1FC2" w:rsidRPr="00DF3AFE" w:rsidRDefault="009A1FC2" w:rsidP="00C345E1">
      <w:pPr>
        <w:pStyle w:val="ListBullet2"/>
      </w:pPr>
      <w:r>
        <w:t xml:space="preserve">Attachment </w:t>
      </w:r>
      <w:r w:rsidR="00663388">
        <w:t>4</w:t>
      </w:r>
      <w:r>
        <w:t xml:space="preserve"> – </w:t>
      </w:r>
      <w:r w:rsidR="005373FB">
        <w:t xml:space="preserve">DCP 306 </w:t>
      </w:r>
      <w:r>
        <w:t>PDCM model and impact assessment</w:t>
      </w:r>
    </w:p>
    <w:sectPr w:rsidR="009A1FC2" w:rsidRPr="00DF3AFE" w:rsidSect="006F19E3">
      <w:headerReference w:type="default" r:id="rId24"/>
      <w:footerReference w:type="default" r:id="rId25"/>
      <w:type w:val="continuous"/>
      <w:pgSz w:w="11906" w:h="16838"/>
      <w:pgMar w:top="1113" w:right="1416" w:bottom="567" w:left="1134" w:header="142" w:footer="701"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0" w:author="Hollie Nicholls" w:date="2018-01-16T10:14:00Z" w:initials="HN">
    <w:p w14:paraId="1ADCE225" w14:textId="47CEDE26" w:rsidR="002B6F90" w:rsidRDefault="002B6F90">
      <w:pPr>
        <w:pStyle w:val="CommentText"/>
      </w:pPr>
      <w:r>
        <w:rPr>
          <w:rStyle w:val="CommentReference"/>
        </w:rPr>
        <w:annotationRef/>
      </w:r>
      <w:r>
        <w:t xml:space="preserve">Will be updated once date for issue is confirmed </w:t>
      </w:r>
    </w:p>
  </w:comment>
  <w:comment w:id="17" w:author="John Lawton" w:date="2018-01-17T09:36:00Z" w:initials="JL">
    <w:p w14:paraId="3A0B2FF9" w14:textId="77777777" w:rsidR="002B6F90" w:rsidRPr="001D602B" w:rsidRDefault="002B6F90" w:rsidP="002B6F90">
      <w:pPr>
        <w:pStyle w:val="ListParagraph"/>
        <w:ind w:left="0"/>
      </w:pPr>
      <w:r>
        <w:rPr>
          <w:rStyle w:val="CommentReference"/>
        </w:rPr>
        <w:annotationRef/>
      </w:r>
      <w:r>
        <w:t>This may need updating subject to a further review of the legal text by the DCUSA Modelling Service Provider to ensure that the proposed legal text aligns with the updated PCDM model.</w:t>
      </w:r>
    </w:p>
    <w:p w14:paraId="30F06D8D" w14:textId="12A7987C" w:rsidR="002B6F90" w:rsidRDefault="002B6F90">
      <w:pPr>
        <w:pStyle w:val="CommentText"/>
      </w:pPr>
    </w:p>
  </w:comment>
  <w:comment w:id="28" w:author="Hollie Nicholls" w:date="2018-01-16T12:27:00Z" w:initials="HN">
    <w:p w14:paraId="1003EB5F" w14:textId="531F9316" w:rsidR="002B6F90" w:rsidRDefault="002B6F90">
      <w:pPr>
        <w:pStyle w:val="CommentText"/>
      </w:pPr>
      <w:r>
        <w:rPr>
          <w:rStyle w:val="CommentReference"/>
        </w:rPr>
        <w:annotationRef/>
      </w:r>
      <w:r>
        <w:t>This will be updated once the date of circulation is confirmed.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ADCE225" w15:done="0"/>
  <w15:commentEx w15:paraId="30F06D8D" w15:done="0"/>
  <w15:commentEx w15:paraId="1003EB5F" w15:done="0"/>
</w15:commentsEx>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D7A210" w14:textId="77777777" w:rsidR="008C1321" w:rsidRDefault="008C1321">
      <w:pPr>
        <w:spacing w:line="240" w:lineRule="auto"/>
      </w:pPr>
      <w:r>
        <w:separator/>
      </w:r>
    </w:p>
    <w:p w14:paraId="507102CC" w14:textId="77777777" w:rsidR="008C1321" w:rsidRDefault="008C1321"/>
  </w:endnote>
  <w:endnote w:type="continuationSeparator" w:id="0">
    <w:p w14:paraId="0346D359" w14:textId="77777777" w:rsidR="008C1321" w:rsidRDefault="008C1321">
      <w:pPr>
        <w:spacing w:line="240" w:lineRule="auto"/>
      </w:pPr>
      <w:r>
        <w:continuationSeparator/>
      </w:r>
    </w:p>
    <w:p w14:paraId="4F26A604" w14:textId="77777777" w:rsidR="008C1321" w:rsidRDefault="008C132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3DDA57" w14:textId="732FB77C" w:rsidR="002B6F90" w:rsidRDefault="002B6F90" w:rsidP="00EA3F0B">
    <w:pPr>
      <w:pStyle w:val="Footer"/>
      <w:pBdr>
        <w:top w:val="single" w:sz="4" w:space="1" w:color="auto"/>
      </w:pBdr>
      <w:tabs>
        <w:tab w:val="clear" w:pos="4320"/>
        <w:tab w:val="clear" w:pos="8640"/>
        <w:tab w:val="left" w:pos="2532"/>
        <w:tab w:val="center" w:pos="4962"/>
        <w:tab w:val="right" w:pos="9356"/>
      </w:tabs>
      <w:spacing w:before="0" w:after="0" w:line="240" w:lineRule="auto"/>
      <w:rPr>
        <w:rFonts w:cs="Arial"/>
        <w:sz w:val="16"/>
        <w:szCs w:val="16"/>
        <w:lang w:val="en-US"/>
      </w:rPr>
    </w:pPr>
    <w:r>
      <w:rPr>
        <w:rFonts w:cs="Arial"/>
        <w:sz w:val="16"/>
        <w:szCs w:val="16"/>
      </w:rPr>
      <w:t>DCP 306</w:t>
    </w:r>
    <w:r>
      <w:rPr>
        <w:rFonts w:cs="Arial"/>
        <w:sz w:val="16"/>
        <w:szCs w:val="16"/>
      </w:rPr>
      <w:tab/>
    </w:r>
    <w:r>
      <w:rPr>
        <w:rFonts w:cs="Arial"/>
        <w:sz w:val="16"/>
        <w:szCs w:val="16"/>
      </w:rPr>
      <w:tab/>
    </w:r>
    <w:r w:rsidRPr="000660DF">
      <w:rPr>
        <w:rFonts w:cs="Arial"/>
        <w:sz w:val="16"/>
        <w:szCs w:val="16"/>
        <w:lang w:val="en-US"/>
      </w:rPr>
      <w:t xml:space="preserve">Page </w:t>
    </w:r>
    <w:r w:rsidRPr="000660DF">
      <w:rPr>
        <w:rFonts w:cs="Arial"/>
        <w:sz w:val="16"/>
        <w:szCs w:val="16"/>
        <w:lang w:val="en-US"/>
      </w:rPr>
      <w:fldChar w:fldCharType="begin"/>
    </w:r>
    <w:r w:rsidRPr="000660DF">
      <w:rPr>
        <w:rFonts w:cs="Arial"/>
        <w:sz w:val="16"/>
        <w:szCs w:val="16"/>
        <w:lang w:val="en-US"/>
      </w:rPr>
      <w:instrText xml:space="preserve"> PAGE </w:instrText>
    </w:r>
    <w:r w:rsidRPr="000660DF">
      <w:rPr>
        <w:rFonts w:cs="Arial"/>
        <w:sz w:val="16"/>
        <w:szCs w:val="16"/>
        <w:lang w:val="en-US"/>
      </w:rPr>
      <w:fldChar w:fldCharType="separate"/>
    </w:r>
    <w:r w:rsidR="00C270FE">
      <w:rPr>
        <w:rFonts w:cs="Arial"/>
        <w:noProof/>
        <w:sz w:val="16"/>
        <w:szCs w:val="16"/>
        <w:lang w:val="en-US"/>
      </w:rPr>
      <w:t>11</w:t>
    </w:r>
    <w:r w:rsidRPr="000660DF">
      <w:rPr>
        <w:rFonts w:cs="Arial"/>
        <w:sz w:val="16"/>
        <w:szCs w:val="16"/>
        <w:lang w:val="en-US"/>
      </w:rPr>
      <w:fldChar w:fldCharType="end"/>
    </w:r>
    <w:r w:rsidRPr="000660DF">
      <w:rPr>
        <w:rFonts w:cs="Arial"/>
        <w:sz w:val="16"/>
        <w:szCs w:val="16"/>
        <w:lang w:val="en-US"/>
      </w:rPr>
      <w:t xml:space="preserve"> of </w:t>
    </w:r>
    <w:r w:rsidRPr="000660DF">
      <w:rPr>
        <w:rFonts w:cs="Arial"/>
        <w:sz w:val="16"/>
        <w:szCs w:val="16"/>
        <w:lang w:val="en-US"/>
      </w:rPr>
      <w:fldChar w:fldCharType="begin"/>
    </w:r>
    <w:r w:rsidRPr="000660DF">
      <w:rPr>
        <w:rFonts w:cs="Arial"/>
        <w:sz w:val="16"/>
        <w:szCs w:val="16"/>
        <w:lang w:val="en-US"/>
      </w:rPr>
      <w:instrText xml:space="preserve"> NUMPAGES </w:instrText>
    </w:r>
    <w:r w:rsidRPr="000660DF">
      <w:rPr>
        <w:rFonts w:cs="Arial"/>
        <w:sz w:val="16"/>
        <w:szCs w:val="16"/>
        <w:lang w:val="en-US"/>
      </w:rPr>
      <w:fldChar w:fldCharType="separate"/>
    </w:r>
    <w:r w:rsidR="00C270FE">
      <w:rPr>
        <w:rFonts w:cs="Arial"/>
        <w:noProof/>
        <w:sz w:val="16"/>
        <w:szCs w:val="16"/>
        <w:lang w:val="en-US"/>
      </w:rPr>
      <w:t>11</w:t>
    </w:r>
    <w:r w:rsidRPr="000660DF">
      <w:rPr>
        <w:rFonts w:cs="Arial"/>
        <w:sz w:val="16"/>
        <w:szCs w:val="16"/>
        <w:lang w:val="en-US"/>
      </w:rPr>
      <w:fldChar w:fldCharType="end"/>
    </w:r>
    <w:r>
      <w:rPr>
        <w:rFonts w:cs="Arial"/>
        <w:sz w:val="16"/>
        <w:szCs w:val="16"/>
        <w:lang w:val="en-US"/>
      </w:rPr>
      <w:tab/>
      <w:t>Version 0.1</w:t>
    </w:r>
  </w:p>
  <w:p w14:paraId="33EE342B" w14:textId="5C475D66" w:rsidR="002B6F90" w:rsidRPr="000660DF" w:rsidRDefault="002B6F90" w:rsidP="005977CB">
    <w:pPr>
      <w:pStyle w:val="Footer"/>
      <w:pBdr>
        <w:top w:val="single" w:sz="4" w:space="1" w:color="auto"/>
      </w:pBdr>
      <w:tabs>
        <w:tab w:val="clear" w:pos="4320"/>
        <w:tab w:val="clear" w:pos="8640"/>
        <w:tab w:val="center" w:pos="4962"/>
        <w:tab w:val="right" w:pos="9356"/>
      </w:tabs>
      <w:spacing w:before="0" w:after="0" w:line="240" w:lineRule="auto"/>
      <w:jc w:val="center"/>
      <w:rPr>
        <w:rFonts w:cs="Arial"/>
        <w:sz w:val="16"/>
        <w:szCs w:val="16"/>
      </w:rPr>
    </w:pPr>
    <w:r>
      <w:rPr>
        <w:rFonts w:cs="Arial"/>
        <w:sz w:val="16"/>
        <w:szCs w:val="16"/>
        <w:lang w:val="en-US"/>
      </w:rPr>
      <w:t>DCUSA Consultation</w:t>
    </w:r>
    <w:r>
      <w:rPr>
        <w:rFonts w:cs="Arial"/>
        <w:sz w:val="16"/>
        <w:szCs w:val="16"/>
        <w:lang w:val="en-US"/>
      </w:rPr>
      <w:tab/>
    </w:r>
    <w:r w:rsidRPr="000660DF">
      <w:rPr>
        <w:rFonts w:cs="Arial"/>
        <w:sz w:val="16"/>
        <w:szCs w:val="16"/>
      </w:rPr>
      <w:t xml:space="preserve">© </w:t>
    </w:r>
    <w:r>
      <w:rPr>
        <w:rFonts w:cs="Arial"/>
        <w:sz w:val="16"/>
        <w:szCs w:val="16"/>
      </w:rPr>
      <w:t xml:space="preserve">2016 </w:t>
    </w:r>
    <w:r w:rsidRPr="000660DF">
      <w:rPr>
        <w:rFonts w:cs="Arial"/>
        <w:sz w:val="16"/>
        <w:szCs w:val="16"/>
      </w:rPr>
      <w:t>all rights reserved</w:t>
    </w:r>
    <w:r>
      <w:rPr>
        <w:rFonts w:cs="Arial"/>
        <w:sz w:val="16"/>
        <w:szCs w:val="16"/>
      </w:rPr>
      <w:tab/>
      <w:t>XX XXX XX</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EF00A0" w14:textId="77777777" w:rsidR="008C1321" w:rsidRDefault="008C1321">
      <w:pPr>
        <w:spacing w:line="240" w:lineRule="auto"/>
      </w:pPr>
      <w:r>
        <w:separator/>
      </w:r>
    </w:p>
    <w:p w14:paraId="48F79E51" w14:textId="77777777" w:rsidR="008C1321" w:rsidRDefault="008C1321"/>
  </w:footnote>
  <w:footnote w:type="continuationSeparator" w:id="0">
    <w:p w14:paraId="23404219" w14:textId="77777777" w:rsidR="008C1321" w:rsidRDefault="008C1321">
      <w:pPr>
        <w:spacing w:line="240" w:lineRule="auto"/>
      </w:pPr>
      <w:r>
        <w:continuationSeparator/>
      </w:r>
    </w:p>
    <w:p w14:paraId="73347E8A" w14:textId="77777777" w:rsidR="008C1321" w:rsidRDefault="008C1321"/>
  </w:footnote>
  <w:footnote w:id="1">
    <w:p w14:paraId="60EC0908" w14:textId="3F2109E4" w:rsidR="002B6F90" w:rsidRDefault="002B6F90">
      <w:pPr>
        <w:pStyle w:val="FootnoteText"/>
      </w:pPr>
      <w:r>
        <w:rPr>
          <w:rStyle w:val="FootnoteReference"/>
        </w:rPr>
        <w:footnoteRef/>
      </w:r>
      <w:r>
        <w:t xml:space="preserve"> Schedule XX being implemented by DCP 234 ‘Merging the PCDM and the extended PCDM’ in April 2018</w:t>
      </w:r>
    </w:p>
  </w:footnote>
  <w:footnote w:id="2">
    <w:p w14:paraId="7267034A" w14:textId="4BD8B4D1" w:rsidR="002B6F90" w:rsidRDefault="002B6F90">
      <w:pPr>
        <w:pStyle w:val="FootnoteText"/>
      </w:pPr>
      <w:r>
        <w:rPr>
          <w:rStyle w:val="FootnoteReference"/>
        </w:rPr>
        <w:footnoteRef/>
      </w:r>
      <w:r>
        <w:t xml:space="preserve"> Due to the approval of DCP 234, the PCDM will be contained in a new schedule with effect from the 1</w:t>
      </w:r>
      <w:r w:rsidRPr="006E1566">
        <w:rPr>
          <w:vertAlign w:val="superscript"/>
        </w:rPr>
        <w:t>st</w:t>
      </w:r>
      <w:r>
        <w:t xml:space="preserve"> April 2018, the number of which has yet to be allocated.</w:t>
      </w:r>
    </w:p>
  </w:footnote>
  <w:footnote w:id="3">
    <w:p w14:paraId="7CC25D96" w14:textId="7C333ED6" w:rsidR="002B6F90" w:rsidRDefault="002B6F90">
      <w:pPr>
        <w:pStyle w:val="FootnoteText"/>
      </w:pPr>
      <w:r>
        <w:rPr>
          <w:rStyle w:val="FootnoteReference"/>
        </w:rPr>
        <w:footnoteRef/>
      </w:r>
      <w:r>
        <w:t xml:space="preserve"> An IDNO Party or DNO Party operating an electricity distribution system outside of its Distribution Services Area.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FC8733" w14:textId="77777777" w:rsidR="002B6F90" w:rsidRDefault="002B6F90">
    <w:pPr>
      <w:pStyle w:val="Header"/>
    </w:pPr>
    <w:r>
      <w:rPr>
        <w:noProof/>
      </w:rPr>
      <w:drawing>
        <wp:anchor distT="0" distB="0" distL="114300" distR="114300" simplePos="0" relativeHeight="251657728" behindDoc="0" locked="0" layoutInCell="1" allowOverlap="1" wp14:anchorId="27C329F6" wp14:editId="052D9C0F">
          <wp:simplePos x="0" y="0"/>
          <wp:positionH relativeFrom="column">
            <wp:posOffset>4198620</wp:posOffset>
          </wp:positionH>
          <wp:positionV relativeFrom="paragraph">
            <wp:posOffset>-93980</wp:posOffset>
          </wp:positionV>
          <wp:extent cx="2015490" cy="682625"/>
          <wp:effectExtent l="0" t="0" r="3810" b="3175"/>
          <wp:wrapNone/>
          <wp:docPr id="2"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15490" cy="682625"/>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C30C4"/>
    <w:multiLevelType w:val="hybridMultilevel"/>
    <w:tmpl w:val="7C403114"/>
    <w:lvl w:ilvl="0" w:tplc="35DECF26">
      <w:start w:val="1"/>
      <w:numFmt w:val="lowerRoman"/>
      <w:lvlText w:val="%1."/>
      <w:lvlJc w:val="left"/>
      <w:pPr>
        <w:ind w:left="914" w:hanging="720"/>
      </w:pPr>
      <w:rPr>
        <w:rFonts w:hint="default"/>
        <w:sz w:val="20"/>
      </w:rPr>
    </w:lvl>
    <w:lvl w:ilvl="1" w:tplc="04090019" w:tentative="1">
      <w:start w:val="1"/>
      <w:numFmt w:val="lowerLetter"/>
      <w:lvlText w:val="%2."/>
      <w:lvlJc w:val="left"/>
      <w:pPr>
        <w:ind w:left="1274" w:hanging="360"/>
      </w:pPr>
    </w:lvl>
    <w:lvl w:ilvl="2" w:tplc="0409001B" w:tentative="1">
      <w:start w:val="1"/>
      <w:numFmt w:val="lowerRoman"/>
      <w:lvlText w:val="%3."/>
      <w:lvlJc w:val="right"/>
      <w:pPr>
        <w:ind w:left="1994" w:hanging="180"/>
      </w:pPr>
    </w:lvl>
    <w:lvl w:ilvl="3" w:tplc="0409000F" w:tentative="1">
      <w:start w:val="1"/>
      <w:numFmt w:val="decimal"/>
      <w:lvlText w:val="%4."/>
      <w:lvlJc w:val="left"/>
      <w:pPr>
        <w:ind w:left="2714" w:hanging="360"/>
      </w:pPr>
    </w:lvl>
    <w:lvl w:ilvl="4" w:tplc="04090019" w:tentative="1">
      <w:start w:val="1"/>
      <w:numFmt w:val="lowerLetter"/>
      <w:lvlText w:val="%5."/>
      <w:lvlJc w:val="left"/>
      <w:pPr>
        <w:ind w:left="3434" w:hanging="360"/>
      </w:pPr>
    </w:lvl>
    <w:lvl w:ilvl="5" w:tplc="0409001B" w:tentative="1">
      <w:start w:val="1"/>
      <w:numFmt w:val="lowerRoman"/>
      <w:lvlText w:val="%6."/>
      <w:lvlJc w:val="right"/>
      <w:pPr>
        <w:ind w:left="4154" w:hanging="180"/>
      </w:pPr>
    </w:lvl>
    <w:lvl w:ilvl="6" w:tplc="0409000F" w:tentative="1">
      <w:start w:val="1"/>
      <w:numFmt w:val="decimal"/>
      <w:lvlText w:val="%7."/>
      <w:lvlJc w:val="left"/>
      <w:pPr>
        <w:ind w:left="4874" w:hanging="360"/>
      </w:pPr>
    </w:lvl>
    <w:lvl w:ilvl="7" w:tplc="04090019" w:tentative="1">
      <w:start w:val="1"/>
      <w:numFmt w:val="lowerLetter"/>
      <w:lvlText w:val="%8."/>
      <w:lvlJc w:val="left"/>
      <w:pPr>
        <w:ind w:left="5594" w:hanging="360"/>
      </w:pPr>
    </w:lvl>
    <w:lvl w:ilvl="8" w:tplc="0409001B" w:tentative="1">
      <w:start w:val="1"/>
      <w:numFmt w:val="lowerRoman"/>
      <w:lvlText w:val="%9."/>
      <w:lvlJc w:val="right"/>
      <w:pPr>
        <w:ind w:left="6314" w:hanging="180"/>
      </w:pPr>
    </w:lvl>
  </w:abstractNum>
  <w:abstractNum w:abstractNumId="1" w15:restartNumberingAfterBreak="0">
    <w:nsid w:val="06230C12"/>
    <w:multiLevelType w:val="multilevel"/>
    <w:tmpl w:val="4000B34A"/>
    <w:lvl w:ilvl="0">
      <w:start w:val="1"/>
      <w:numFmt w:val="decimal"/>
      <w:lvlText w:val="%1"/>
      <w:lvlJc w:val="left"/>
      <w:pPr>
        <w:tabs>
          <w:tab w:val="num" w:pos="432"/>
        </w:tabs>
        <w:ind w:left="432" w:hanging="432"/>
      </w:pPr>
      <w:rPr>
        <w:rFonts w:cs="Times New Roman"/>
        <w:b/>
        <w:sz w:val="20"/>
        <w:szCs w:val="20"/>
      </w:rPr>
    </w:lvl>
    <w:lvl w:ilvl="1">
      <w:start w:val="1"/>
      <w:numFmt w:val="bullet"/>
      <w:lvlText w:val=""/>
      <w:lvlJc w:val="left"/>
      <w:pPr>
        <w:tabs>
          <w:tab w:val="num" w:pos="576"/>
        </w:tabs>
        <w:ind w:left="576" w:hanging="576"/>
      </w:pPr>
      <w:rPr>
        <w:rFonts w:ascii="Symbol" w:hAnsi="Symbol" w:hint="default"/>
        <w:b w:val="0"/>
        <w:bCs w:val="0"/>
        <w:i w:val="0"/>
        <w:iCs w:val="0"/>
        <w:caps w:val="0"/>
        <w:smallCaps w:val="0"/>
        <w:strike w:val="0"/>
        <w:dstrike w:val="0"/>
        <w:color w:val="auto"/>
        <w:spacing w:val="0"/>
        <w:w w:val="100"/>
        <w:kern w:val="0"/>
        <w:position w:val="0"/>
        <w:sz w:val="20"/>
        <w:szCs w:val="20"/>
        <w:u w:val="none"/>
        <w:effect w:val="none"/>
      </w:rPr>
    </w:lvl>
    <w:lvl w:ilvl="2">
      <w:start w:val="1"/>
      <w:numFmt w:val="decimal"/>
      <w:lvlText w:val="%3."/>
      <w:lvlJc w:val="left"/>
      <w:pPr>
        <w:tabs>
          <w:tab w:val="num" w:pos="720"/>
        </w:tabs>
        <w:ind w:left="720" w:hanging="720"/>
      </w:pPr>
      <w:rPr>
        <w:rFonts w:ascii="Calibri" w:hAnsi="Calibri" w:hint="default"/>
        <w:sz w:val="22"/>
        <w:szCs w:val="22"/>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 w15:restartNumberingAfterBreak="0">
    <w:nsid w:val="06314909"/>
    <w:multiLevelType w:val="multilevel"/>
    <w:tmpl w:val="FDDCA286"/>
    <w:lvl w:ilvl="0">
      <w:start w:val="1"/>
      <w:numFmt w:val="decimal"/>
      <w:lvlText w:val="%1"/>
      <w:lvlJc w:val="left"/>
      <w:pPr>
        <w:ind w:left="432" w:hanging="432"/>
      </w:pPr>
      <w:rPr>
        <w:rFonts w:hint="default"/>
      </w:rPr>
    </w:lvl>
    <w:lvl w:ilvl="1">
      <w:start w:val="1"/>
      <w:numFmt w:val="decimal"/>
      <w:lvlText w:val="%1.%2"/>
      <w:lvlJc w:val="left"/>
      <w:pPr>
        <w:ind w:left="576" w:hanging="576"/>
      </w:pPr>
      <w:rPr>
        <w:rFonts w:ascii="Arial" w:hAnsi="Arial" w:cs="Arial" w:hint="default"/>
        <w:b w:val="0"/>
        <w:i w:val="0"/>
        <w:color w:val="000000"/>
        <w:sz w:val="20"/>
        <w:szCs w:val="20"/>
      </w:rPr>
    </w:lvl>
    <w:lvl w:ilvl="2">
      <w:start w:val="1"/>
      <w:numFmt w:val="bullet"/>
      <w:lvlText w:val=""/>
      <w:lvlJc w:val="left"/>
      <w:pPr>
        <w:ind w:left="720" w:hanging="720"/>
      </w:pPr>
      <w:rPr>
        <w:rFonts w:ascii="Symbol" w:hAnsi="Symbol"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 w15:restartNumberingAfterBreak="0">
    <w:nsid w:val="094418A0"/>
    <w:multiLevelType w:val="hybridMultilevel"/>
    <w:tmpl w:val="DC4608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0C3282"/>
    <w:multiLevelType w:val="hybridMultilevel"/>
    <w:tmpl w:val="343A0958"/>
    <w:lvl w:ilvl="0" w:tplc="9DF441A8">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23D04494" w:tentative="1">
      <w:start w:val="1"/>
      <w:numFmt w:val="bullet"/>
      <w:lvlText w:val="o"/>
      <w:lvlJc w:val="left"/>
      <w:pPr>
        <w:tabs>
          <w:tab w:val="num" w:pos="1440"/>
        </w:tabs>
        <w:ind w:left="1440" w:hanging="360"/>
      </w:pPr>
      <w:rPr>
        <w:rFonts w:ascii="Courier New" w:hAnsi="Courier New" w:cs="Wingdings" w:hint="default"/>
      </w:rPr>
    </w:lvl>
    <w:lvl w:ilvl="2" w:tplc="6E80AE8C" w:tentative="1">
      <w:start w:val="1"/>
      <w:numFmt w:val="bullet"/>
      <w:lvlText w:val=""/>
      <w:lvlJc w:val="left"/>
      <w:pPr>
        <w:tabs>
          <w:tab w:val="num" w:pos="2160"/>
        </w:tabs>
        <w:ind w:left="2160" w:hanging="360"/>
      </w:pPr>
      <w:rPr>
        <w:rFonts w:ascii="Wingdings" w:hAnsi="Wingdings" w:hint="default"/>
      </w:rPr>
    </w:lvl>
    <w:lvl w:ilvl="3" w:tplc="B68A4F2E" w:tentative="1">
      <w:start w:val="1"/>
      <w:numFmt w:val="bullet"/>
      <w:lvlText w:val=""/>
      <w:lvlJc w:val="left"/>
      <w:pPr>
        <w:tabs>
          <w:tab w:val="num" w:pos="2880"/>
        </w:tabs>
        <w:ind w:left="2880" w:hanging="360"/>
      </w:pPr>
      <w:rPr>
        <w:rFonts w:ascii="Symbol" w:hAnsi="Symbol" w:hint="default"/>
      </w:rPr>
    </w:lvl>
    <w:lvl w:ilvl="4" w:tplc="F59855C6" w:tentative="1">
      <w:start w:val="1"/>
      <w:numFmt w:val="bullet"/>
      <w:lvlText w:val="o"/>
      <w:lvlJc w:val="left"/>
      <w:pPr>
        <w:tabs>
          <w:tab w:val="num" w:pos="3600"/>
        </w:tabs>
        <w:ind w:left="3600" w:hanging="360"/>
      </w:pPr>
      <w:rPr>
        <w:rFonts w:ascii="Courier New" w:hAnsi="Courier New" w:cs="Wingdings" w:hint="default"/>
      </w:rPr>
    </w:lvl>
    <w:lvl w:ilvl="5" w:tplc="231C2B90" w:tentative="1">
      <w:start w:val="1"/>
      <w:numFmt w:val="bullet"/>
      <w:lvlText w:val=""/>
      <w:lvlJc w:val="left"/>
      <w:pPr>
        <w:tabs>
          <w:tab w:val="num" w:pos="4320"/>
        </w:tabs>
        <w:ind w:left="4320" w:hanging="360"/>
      </w:pPr>
      <w:rPr>
        <w:rFonts w:ascii="Wingdings" w:hAnsi="Wingdings" w:hint="default"/>
      </w:rPr>
    </w:lvl>
    <w:lvl w:ilvl="6" w:tplc="B9A6BA0C" w:tentative="1">
      <w:start w:val="1"/>
      <w:numFmt w:val="bullet"/>
      <w:lvlText w:val=""/>
      <w:lvlJc w:val="left"/>
      <w:pPr>
        <w:tabs>
          <w:tab w:val="num" w:pos="5040"/>
        </w:tabs>
        <w:ind w:left="5040" w:hanging="360"/>
      </w:pPr>
      <w:rPr>
        <w:rFonts w:ascii="Symbol" w:hAnsi="Symbol" w:hint="default"/>
      </w:rPr>
    </w:lvl>
    <w:lvl w:ilvl="7" w:tplc="D9A87C10" w:tentative="1">
      <w:start w:val="1"/>
      <w:numFmt w:val="bullet"/>
      <w:lvlText w:val="o"/>
      <w:lvlJc w:val="left"/>
      <w:pPr>
        <w:tabs>
          <w:tab w:val="num" w:pos="5760"/>
        </w:tabs>
        <w:ind w:left="5760" w:hanging="360"/>
      </w:pPr>
      <w:rPr>
        <w:rFonts w:ascii="Courier New" w:hAnsi="Courier New" w:cs="Wingdings" w:hint="default"/>
      </w:rPr>
    </w:lvl>
    <w:lvl w:ilvl="8" w:tplc="16B4647C"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3D1A4F"/>
    <w:multiLevelType w:val="hybridMultilevel"/>
    <w:tmpl w:val="8606184E"/>
    <w:lvl w:ilvl="0" w:tplc="35520E32">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E8D28288" w:tentative="1">
      <w:start w:val="1"/>
      <w:numFmt w:val="bullet"/>
      <w:lvlText w:val="o"/>
      <w:lvlJc w:val="left"/>
      <w:pPr>
        <w:tabs>
          <w:tab w:val="num" w:pos="2855"/>
        </w:tabs>
        <w:ind w:left="2855" w:hanging="360"/>
      </w:pPr>
      <w:rPr>
        <w:rFonts w:ascii="Courier New" w:hAnsi="Courier New" w:cs="Wingdings" w:hint="default"/>
      </w:rPr>
    </w:lvl>
    <w:lvl w:ilvl="2" w:tplc="1226A236" w:tentative="1">
      <w:start w:val="1"/>
      <w:numFmt w:val="bullet"/>
      <w:lvlText w:val=""/>
      <w:lvlJc w:val="left"/>
      <w:pPr>
        <w:tabs>
          <w:tab w:val="num" w:pos="3575"/>
        </w:tabs>
        <w:ind w:left="3575" w:hanging="360"/>
      </w:pPr>
      <w:rPr>
        <w:rFonts w:ascii="Wingdings" w:hAnsi="Wingdings" w:hint="default"/>
      </w:rPr>
    </w:lvl>
    <w:lvl w:ilvl="3" w:tplc="7F3EEBB8" w:tentative="1">
      <w:start w:val="1"/>
      <w:numFmt w:val="bullet"/>
      <w:lvlText w:val=""/>
      <w:lvlJc w:val="left"/>
      <w:pPr>
        <w:tabs>
          <w:tab w:val="num" w:pos="4295"/>
        </w:tabs>
        <w:ind w:left="4295" w:hanging="360"/>
      </w:pPr>
      <w:rPr>
        <w:rFonts w:ascii="Symbol" w:hAnsi="Symbol" w:hint="default"/>
      </w:rPr>
    </w:lvl>
    <w:lvl w:ilvl="4" w:tplc="BAE22870" w:tentative="1">
      <w:start w:val="1"/>
      <w:numFmt w:val="bullet"/>
      <w:lvlText w:val="o"/>
      <w:lvlJc w:val="left"/>
      <w:pPr>
        <w:tabs>
          <w:tab w:val="num" w:pos="5015"/>
        </w:tabs>
        <w:ind w:left="5015" w:hanging="360"/>
      </w:pPr>
      <w:rPr>
        <w:rFonts w:ascii="Courier New" w:hAnsi="Courier New" w:cs="Wingdings" w:hint="default"/>
      </w:rPr>
    </w:lvl>
    <w:lvl w:ilvl="5" w:tplc="9354A5D4" w:tentative="1">
      <w:start w:val="1"/>
      <w:numFmt w:val="bullet"/>
      <w:lvlText w:val=""/>
      <w:lvlJc w:val="left"/>
      <w:pPr>
        <w:tabs>
          <w:tab w:val="num" w:pos="5735"/>
        </w:tabs>
        <w:ind w:left="5735" w:hanging="360"/>
      </w:pPr>
      <w:rPr>
        <w:rFonts w:ascii="Wingdings" w:hAnsi="Wingdings" w:hint="default"/>
      </w:rPr>
    </w:lvl>
    <w:lvl w:ilvl="6" w:tplc="34B20C2A" w:tentative="1">
      <w:start w:val="1"/>
      <w:numFmt w:val="bullet"/>
      <w:lvlText w:val=""/>
      <w:lvlJc w:val="left"/>
      <w:pPr>
        <w:tabs>
          <w:tab w:val="num" w:pos="6455"/>
        </w:tabs>
        <w:ind w:left="6455" w:hanging="360"/>
      </w:pPr>
      <w:rPr>
        <w:rFonts w:ascii="Symbol" w:hAnsi="Symbol" w:hint="default"/>
      </w:rPr>
    </w:lvl>
    <w:lvl w:ilvl="7" w:tplc="FE5A870A" w:tentative="1">
      <w:start w:val="1"/>
      <w:numFmt w:val="bullet"/>
      <w:lvlText w:val="o"/>
      <w:lvlJc w:val="left"/>
      <w:pPr>
        <w:tabs>
          <w:tab w:val="num" w:pos="7175"/>
        </w:tabs>
        <w:ind w:left="7175" w:hanging="360"/>
      </w:pPr>
      <w:rPr>
        <w:rFonts w:ascii="Courier New" w:hAnsi="Courier New" w:cs="Wingdings" w:hint="default"/>
      </w:rPr>
    </w:lvl>
    <w:lvl w:ilvl="8" w:tplc="19B69DDC"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1D656FF6"/>
    <w:multiLevelType w:val="hybridMultilevel"/>
    <w:tmpl w:val="1DD0374A"/>
    <w:lvl w:ilvl="0" w:tplc="C0586B34">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2BB2A476" w:tentative="1">
      <w:start w:val="1"/>
      <w:numFmt w:val="bullet"/>
      <w:lvlText w:val="o"/>
      <w:lvlJc w:val="left"/>
      <w:pPr>
        <w:tabs>
          <w:tab w:val="num" w:pos="1440"/>
        </w:tabs>
        <w:ind w:left="1440" w:hanging="360"/>
      </w:pPr>
      <w:rPr>
        <w:rFonts w:ascii="Courier New" w:hAnsi="Courier New" w:cs="Wingdings" w:hint="default"/>
      </w:rPr>
    </w:lvl>
    <w:lvl w:ilvl="2" w:tplc="C0E6DEC4" w:tentative="1">
      <w:start w:val="1"/>
      <w:numFmt w:val="bullet"/>
      <w:lvlText w:val=""/>
      <w:lvlJc w:val="left"/>
      <w:pPr>
        <w:tabs>
          <w:tab w:val="num" w:pos="2160"/>
        </w:tabs>
        <w:ind w:left="2160" w:hanging="360"/>
      </w:pPr>
      <w:rPr>
        <w:rFonts w:ascii="Wingdings" w:hAnsi="Wingdings" w:hint="default"/>
      </w:rPr>
    </w:lvl>
    <w:lvl w:ilvl="3" w:tplc="B478F992" w:tentative="1">
      <w:start w:val="1"/>
      <w:numFmt w:val="bullet"/>
      <w:lvlText w:val=""/>
      <w:lvlJc w:val="left"/>
      <w:pPr>
        <w:tabs>
          <w:tab w:val="num" w:pos="2880"/>
        </w:tabs>
        <w:ind w:left="2880" w:hanging="360"/>
      </w:pPr>
      <w:rPr>
        <w:rFonts w:ascii="Symbol" w:hAnsi="Symbol" w:hint="default"/>
      </w:rPr>
    </w:lvl>
    <w:lvl w:ilvl="4" w:tplc="F7ECA076" w:tentative="1">
      <w:start w:val="1"/>
      <w:numFmt w:val="bullet"/>
      <w:lvlText w:val="o"/>
      <w:lvlJc w:val="left"/>
      <w:pPr>
        <w:tabs>
          <w:tab w:val="num" w:pos="3600"/>
        </w:tabs>
        <w:ind w:left="3600" w:hanging="360"/>
      </w:pPr>
      <w:rPr>
        <w:rFonts w:ascii="Courier New" w:hAnsi="Courier New" w:cs="Wingdings" w:hint="default"/>
      </w:rPr>
    </w:lvl>
    <w:lvl w:ilvl="5" w:tplc="7D78F700" w:tentative="1">
      <w:start w:val="1"/>
      <w:numFmt w:val="bullet"/>
      <w:lvlText w:val=""/>
      <w:lvlJc w:val="left"/>
      <w:pPr>
        <w:tabs>
          <w:tab w:val="num" w:pos="4320"/>
        </w:tabs>
        <w:ind w:left="4320" w:hanging="360"/>
      </w:pPr>
      <w:rPr>
        <w:rFonts w:ascii="Wingdings" w:hAnsi="Wingdings" w:hint="default"/>
      </w:rPr>
    </w:lvl>
    <w:lvl w:ilvl="6" w:tplc="7A02FCFA" w:tentative="1">
      <w:start w:val="1"/>
      <w:numFmt w:val="bullet"/>
      <w:lvlText w:val=""/>
      <w:lvlJc w:val="left"/>
      <w:pPr>
        <w:tabs>
          <w:tab w:val="num" w:pos="5040"/>
        </w:tabs>
        <w:ind w:left="5040" w:hanging="360"/>
      </w:pPr>
      <w:rPr>
        <w:rFonts w:ascii="Symbol" w:hAnsi="Symbol" w:hint="default"/>
      </w:rPr>
    </w:lvl>
    <w:lvl w:ilvl="7" w:tplc="8EB07C18" w:tentative="1">
      <w:start w:val="1"/>
      <w:numFmt w:val="bullet"/>
      <w:lvlText w:val="o"/>
      <w:lvlJc w:val="left"/>
      <w:pPr>
        <w:tabs>
          <w:tab w:val="num" w:pos="5760"/>
        </w:tabs>
        <w:ind w:left="5760" w:hanging="360"/>
      </w:pPr>
      <w:rPr>
        <w:rFonts w:ascii="Courier New" w:hAnsi="Courier New" w:cs="Wingdings" w:hint="default"/>
      </w:rPr>
    </w:lvl>
    <w:lvl w:ilvl="8" w:tplc="1152B58A"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336795A"/>
    <w:multiLevelType w:val="multilevel"/>
    <w:tmpl w:val="A32689EC"/>
    <w:lvl w:ilvl="0">
      <w:start w:val="1"/>
      <w:numFmt w:val="decimal"/>
      <w:lvlText w:val="%1."/>
      <w:lvlJc w:val="left"/>
      <w:pPr>
        <w:tabs>
          <w:tab w:val="num" w:pos="567"/>
        </w:tabs>
        <w:ind w:left="567" w:hanging="567"/>
      </w:pPr>
      <w:rPr>
        <w:rFonts w:hint="default"/>
        <w:sz w:val="24"/>
      </w:rPr>
    </w:lvl>
    <w:lvl w:ilvl="1">
      <w:start w:val="1"/>
      <w:numFmt w:val="bullet"/>
      <w:lvlText w:val=""/>
      <w:lvlJc w:val="left"/>
      <w:pPr>
        <w:tabs>
          <w:tab w:val="num" w:pos="567"/>
        </w:tabs>
        <w:ind w:left="567" w:hanging="567"/>
      </w:pPr>
      <w:rPr>
        <w:rFonts w:ascii="Symbol" w:hAnsi="Symbol" w:hint="default"/>
        <w:sz w:val="20"/>
        <w:szCs w:val="20"/>
      </w:rPr>
    </w:lvl>
    <w:lvl w:ilvl="2">
      <w:start w:val="1"/>
      <w:numFmt w:val="decimal"/>
      <w:lvlText w:val="%1.%2.%3"/>
      <w:lvlJc w:val="left"/>
      <w:pPr>
        <w:tabs>
          <w:tab w:val="num" w:pos="567"/>
        </w:tabs>
        <w:ind w:left="567" w:hanging="567"/>
      </w:pPr>
      <w:rPr>
        <w:rFonts w:ascii="Arial" w:hAnsi="Arial" w:cs="Arial" w:hint="default"/>
        <w:sz w:val="24"/>
      </w:rPr>
    </w:lvl>
    <w:lvl w:ilvl="3">
      <w:start w:val="1"/>
      <w:numFmt w:val="bullet"/>
      <w:lvlText w:val=""/>
      <w:lvlJc w:val="left"/>
      <w:pPr>
        <w:tabs>
          <w:tab w:val="num" w:pos="1134"/>
        </w:tabs>
        <w:ind w:left="1134" w:hanging="283"/>
      </w:pPr>
      <w:rPr>
        <w:rFonts w:ascii="Symbol" w:hAnsi="Symbol" w:hint="default"/>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abstractNum w:abstractNumId="9" w15:restartNumberingAfterBreak="0">
    <w:nsid w:val="23925BB6"/>
    <w:multiLevelType w:val="hybridMultilevel"/>
    <w:tmpl w:val="1526A302"/>
    <w:lvl w:ilvl="0" w:tplc="6CE4C682">
      <w:start w:val="1"/>
      <w:numFmt w:val="decimal"/>
      <w:lvlText w:val="%1."/>
      <w:lvlJc w:val="left"/>
      <w:pPr>
        <w:ind w:left="936" w:hanging="360"/>
      </w:pPr>
      <w:rPr>
        <w:rFonts w:hint="default"/>
      </w:rPr>
    </w:lvl>
    <w:lvl w:ilvl="1" w:tplc="08090019">
      <w:start w:val="1"/>
      <w:numFmt w:val="lowerLetter"/>
      <w:lvlText w:val="%2."/>
      <w:lvlJc w:val="left"/>
      <w:pPr>
        <w:ind w:left="1656" w:hanging="360"/>
      </w:pPr>
    </w:lvl>
    <w:lvl w:ilvl="2" w:tplc="0809001B" w:tentative="1">
      <w:start w:val="1"/>
      <w:numFmt w:val="lowerRoman"/>
      <w:lvlText w:val="%3."/>
      <w:lvlJc w:val="right"/>
      <w:pPr>
        <w:ind w:left="2376" w:hanging="180"/>
      </w:pPr>
    </w:lvl>
    <w:lvl w:ilvl="3" w:tplc="0809000F" w:tentative="1">
      <w:start w:val="1"/>
      <w:numFmt w:val="decimal"/>
      <w:lvlText w:val="%4."/>
      <w:lvlJc w:val="left"/>
      <w:pPr>
        <w:ind w:left="3096" w:hanging="360"/>
      </w:pPr>
    </w:lvl>
    <w:lvl w:ilvl="4" w:tplc="08090019" w:tentative="1">
      <w:start w:val="1"/>
      <w:numFmt w:val="lowerLetter"/>
      <w:lvlText w:val="%5."/>
      <w:lvlJc w:val="left"/>
      <w:pPr>
        <w:ind w:left="3816" w:hanging="360"/>
      </w:pPr>
    </w:lvl>
    <w:lvl w:ilvl="5" w:tplc="0809001B" w:tentative="1">
      <w:start w:val="1"/>
      <w:numFmt w:val="lowerRoman"/>
      <w:lvlText w:val="%6."/>
      <w:lvlJc w:val="right"/>
      <w:pPr>
        <w:ind w:left="4536" w:hanging="180"/>
      </w:pPr>
    </w:lvl>
    <w:lvl w:ilvl="6" w:tplc="0809000F" w:tentative="1">
      <w:start w:val="1"/>
      <w:numFmt w:val="decimal"/>
      <w:lvlText w:val="%7."/>
      <w:lvlJc w:val="left"/>
      <w:pPr>
        <w:ind w:left="5256" w:hanging="360"/>
      </w:pPr>
    </w:lvl>
    <w:lvl w:ilvl="7" w:tplc="08090019" w:tentative="1">
      <w:start w:val="1"/>
      <w:numFmt w:val="lowerLetter"/>
      <w:lvlText w:val="%8."/>
      <w:lvlJc w:val="left"/>
      <w:pPr>
        <w:ind w:left="5976" w:hanging="360"/>
      </w:pPr>
    </w:lvl>
    <w:lvl w:ilvl="8" w:tplc="0809001B" w:tentative="1">
      <w:start w:val="1"/>
      <w:numFmt w:val="lowerRoman"/>
      <w:lvlText w:val="%9."/>
      <w:lvlJc w:val="right"/>
      <w:pPr>
        <w:ind w:left="6696" w:hanging="180"/>
      </w:pPr>
    </w:lvl>
  </w:abstractNum>
  <w:abstractNum w:abstractNumId="10" w15:restartNumberingAfterBreak="0">
    <w:nsid w:val="239B3305"/>
    <w:multiLevelType w:val="hybridMultilevel"/>
    <w:tmpl w:val="2A6CFDCC"/>
    <w:lvl w:ilvl="0" w:tplc="08090001">
      <w:start w:val="1"/>
      <w:numFmt w:val="bullet"/>
      <w:lvlText w:val=""/>
      <w:lvlJc w:val="left"/>
      <w:pPr>
        <w:ind w:left="1296" w:hanging="360"/>
      </w:pPr>
      <w:rPr>
        <w:rFonts w:ascii="Symbol" w:hAnsi="Symbol" w:hint="default"/>
      </w:rPr>
    </w:lvl>
    <w:lvl w:ilvl="1" w:tplc="08090003" w:tentative="1">
      <w:start w:val="1"/>
      <w:numFmt w:val="bullet"/>
      <w:lvlText w:val="o"/>
      <w:lvlJc w:val="left"/>
      <w:pPr>
        <w:ind w:left="2016" w:hanging="360"/>
      </w:pPr>
      <w:rPr>
        <w:rFonts w:ascii="Courier New" w:hAnsi="Courier New" w:cs="Courier New" w:hint="default"/>
      </w:rPr>
    </w:lvl>
    <w:lvl w:ilvl="2" w:tplc="08090005" w:tentative="1">
      <w:start w:val="1"/>
      <w:numFmt w:val="bullet"/>
      <w:lvlText w:val=""/>
      <w:lvlJc w:val="left"/>
      <w:pPr>
        <w:ind w:left="2736" w:hanging="360"/>
      </w:pPr>
      <w:rPr>
        <w:rFonts w:ascii="Wingdings" w:hAnsi="Wingdings" w:hint="default"/>
      </w:rPr>
    </w:lvl>
    <w:lvl w:ilvl="3" w:tplc="08090001" w:tentative="1">
      <w:start w:val="1"/>
      <w:numFmt w:val="bullet"/>
      <w:lvlText w:val=""/>
      <w:lvlJc w:val="left"/>
      <w:pPr>
        <w:ind w:left="3456" w:hanging="360"/>
      </w:pPr>
      <w:rPr>
        <w:rFonts w:ascii="Symbol" w:hAnsi="Symbol" w:hint="default"/>
      </w:rPr>
    </w:lvl>
    <w:lvl w:ilvl="4" w:tplc="08090003" w:tentative="1">
      <w:start w:val="1"/>
      <w:numFmt w:val="bullet"/>
      <w:lvlText w:val="o"/>
      <w:lvlJc w:val="left"/>
      <w:pPr>
        <w:ind w:left="4176" w:hanging="360"/>
      </w:pPr>
      <w:rPr>
        <w:rFonts w:ascii="Courier New" w:hAnsi="Courier New" w:cs="Courier New" w:hint="default"/>
      </w:rPr>
    </w:lvl>
    <w:lvl w:ilvl="5" w:tplc="08090005" w:tentative="1">
      <w:start w:val="1"/>
      <w:numFmt w:val="bullet"/>
      <w:lvlText w:val=""/>
      <w:lvlJc w:val="left"/>
      <w:pPr>
        <w:ind w:left="4896" w:hanging="360"/>
      </w:pPr>
      <w:rPr>
        <w:rFonts w:ascii="Wingdings" w:hAnsi="Wingdings" w:hint="default"/>
      </w:rPr>
    </w:lvl>
    <w:lvl w:ilvl="6" w:tplc="08090001" w:tentative="1">
      <w:start w:val="1"/>
      <w:numFmt w:val="bullet"/>
      <w:lvlText w:val=""/>
      <w:lvlJc w:val="left"/>
      <w:pPr>
        <w:ind w:left="5616" w:hanging="360"/>
      </w:pPr>
      <w:rPr>
        <w:rFonts w:ascii="Symbol" w:hAnsi="Symbol" w:hint="default"/>
      </w:rPr>
    </w:lvl>
    <w:lvl w:ilvl="7" w:tplc="08090003" w:tentative="1">
      <w:start w:val="1"/>
      <w:numFmt w:val="bullet"/>
      <w:lvlText w:val="o"/>
      <w:lvlJc w:val="left"/>
      <w:pPr>
        <w:ind w:left="6336" w:hanging="360"/>
      </w:pPr>
      <w:rPr>
        <w:rFonts w:ascii="Courier New" w:hAnsi="Courier New" w:cs="Courier New" w:hint="default"/>
      </w:rPr>
    </w:lvl>
    <w:lvl w:ilvl="8" w:tplc="08090005" w:tentative="1">
      <w:start w:val="1"/>
      <w:numFmt w:val="bullet"/>
      <w:lvlText w:val=""/>
      <w:lvlJc w:val="left"/>
      <w:pPr>
        <w:ind w:left="7056" w:hanging="360"/>
      </w:pPr>
      <w:rPr>
        <w:rFonts w:ascii="Wingdings" w:hAnsi="Wingdings" w:hint="default"/>
      </w:rPr>
    </w:lvl>
  </w:abstractNum>
  <w:abstractNum w:abstractNumId="11" w15:restartNumberingAfterBreak="0">
    <w:nsid w:val="2AD02B91"/>
    <w:multiLevelType w:val="multilevel"/>
    <w:tmpl w:val="0C4062CE"/>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2BF17663"/>
    <w:multiLevelType w:val="hybridMultilevel"/>
    <w:tmpl w:val="312CC9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15:restartNumberingAfterBreak="0">
    <w:nsid w:val="34683A82"/>
    <w:multiLevelType w:val="hybridMultilevel"/>
    <w:tmpl w:val="BFB28048"/>
    <w:lvl w:ilvl="0" w:tplc="08090001">
      <w:start w:val="1"/>
      <w:numFmt w:val="bullet"/>
      <w:lvlText w:val=""/>
      <w:lvlJc w:val="left"/>
      <w:pPr>
        <w:ind w:left="1296" w:hanging="360"/>
      </w:pPr>
      <w:rPr>
        <w:rFonts w:ascii="Symbol" w:hAnsi="Symbol" w:hint="default"/>
      </w:rPr>
    </w:lvl>
    <w:lvl w:ilvl="1" w:tplc="08090003" w:tentative="1">
      <w:start w:val="1"/>
      <w:numFmt w:val="bullet"/>
      <w:lvlText w:val="o"/>
      <w:lvlJc w:val="left"/>
      <w:pPr>
        <w:ind w:left="2016" w:hanging="360"/>
      </w:pPr>
      <w:rPr>
        <w:rFonts w:ascii="Courier New" w:hAnsi="Courier New" w:cs="Courier New" w:hint="default"/>
      </w:rPr>
    </w:lvl>
    <w:lvl w:ilvl="2" w:tplc="08090005" w:tentative="1">
      <w:start w:val="1"/>
      <w:numFmt w:val="bullet"/>
      <w:lvlText w:val=""/>
      <w:lvlJc w:val="left"/>
      <w:pPr>
        <w:ind w:left="2736" w:hanging="360"/>
      </w:pPr>
      <w:rPr>
        <w:rFonts w:ascii="Wingdings" w:hAnsi="Wingdings" w:hint="default"/>
      </w:rPr>
    </w:lvl>
    <w:lvl w:ilvl="3" w:tplc="08090001" w:tentative="1">
      <w:start w:val="1"/>
      <w:numFmt w:val="bullet"/>
      <w:lvlText w:val=""/>
      <w:lvlJc w:val="left"/>
      <w:pPr>
        <w:ind w:left="3456" w:hanging="360"/>
      </w:pPr>
      <w:rPr>
        <w:rFonts w:ascii="Symbol" w:hAnsi="Symbol" w:hint="default"/>
      </w:rPr>
    </w:lvl>
    <w:lvl w:ilvl="4" w:tplc="08090003" w:tentative="1">
      <w:start w:val="1"/>
      <w:numFmt w:val="bullet"/>
      <w:lvlText w:val="o"/>
      <w:lvlJc w:val="left"/>
      <w:pPr>
        <w:ind w:left="4176" w:hanging="360"/>
      </w:pPr>
      <w:rPr>
        <w:rFonts w:ascii="Courier New" w:hAnsi="Courier New" w:cs="Courier New" w:hint="default"/>
      </w:rPr>
    </w:lvl>
    <w:lvl w:ilvl="5" w:tplc="08090005" w:tentative="1">
      <w:start w:val="1"/>
      <w:numFmt w:val="bullet"/>
      <w:lvlText w:val=""/>
      <w:lvlJc w:val="left"/>
      <w:pPr>
        <w:ind w:left="4896" w:hanging="360"/>
      </w:pPr>
      <w:rPr>
        <w:rFonts w:ascii="Wingdings" w:hAnsi="Wingdings" w:hint="default"/>
      </w:rPr>
    </w:lvl>
    <w:lvl w:ilvl="6" w:tplc="08090001" w:tentative="1">
      <w:start w:val="1"/>
      <w:numFmt w:val="bullet"/>
      <w:lvlText w:val=""/>
      <w:lvlJc w:val="left"/>
      <w:pPr>
        <w:ind w:left="5616" w:hanging="360"/>
      </w:pPr>
      <w:rPr>
        <w:rFonts w:ascii="Symbol" w:hAnsi="Symbol" w:hint="default"/>
      </w:rPr>
    </w:lvl>
    <w:lvl w:ilvl="7" w:tplc="08090003" w:tentative="1">
      <w:start w:val="1"/>
      <w:numFmt w:val="bullet"/>
      <w:lvlText w:val="o"/>
      <w:lvlJc w:val="left"/>
      <w:pPr>
        <w:ind w:left="6336" w:hanging="360"/>
      </w:pPr>
      <w:rPr>
        <w:rFonts w:ascii="Courier New" w:hAnsi="Courier New" w:cs="Courier New" w:hint="default"/>
      </w:rPr>
    </w:lvl>
    <w:lvl w:ilvl="8" w:tplc="08090005" w:tentative="1">
      <w:start w:val="1"/>
      <w:numFmt w:val="bullet"/>
      <w:lvlText w:val=""/>
      <w:lvlJc w:val="left"/>
      <w:pPr>
        <w:ind w:left="7056" w:hanging="360"/>
      </w:pPr>
      <w:rPr>
        <w:rFonts w:ascii="Wingdings" w:hAnsi="Wingdings" w:hint="default"/>
      </w:rPr>
    </w:lvl>
  </w:abstractNum>
  <w:abstractNum w:abstractNumId="15" w15:restartNumberingAfterBreak="0">
    <w:nsid w:val="35C33A08"/>
    <w:multiLevelType w:val="hybridMultilevel"/>
    <w:tmpl w:val="84A05C6A"/>
    <w:lvl w:ilvl="0" w:tplc="0409000F">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367B4B0F"/>
    <w:multiLevelType w:val="hybridMultilevel"/>
    <w:tmpl w:val="EB104FD0"/>
    <w:lvl w:ilvl="0" w:tplc="08090001">
      <w:start w:val="1"/>
      <w:numFmt w:val="bullet"/>
      <w:lvlText w:val=""/>
      <w:lvlJc w:val="left"/>
      <w:pPr>
        <w:ind w:left="833" w:hanging="360"/>
      </w:pPr>
      <w:rPr>
        <w:rFonts w:ascii="Symbol" w:hAnsi="Symbol" w:hint="default"/>
      </w:rPr>
    </w:lvl>
    <w:lvl w:ilvl="1" w:tplc="08090003">
      <w:start w:val="1"/>
      <w:numFmt w:val="bullet"/>
      <w:lvlText w:val="o"/>
      <w:lvlJc w:val="left"/>
      <w:pPr>
        <w:ind w:left="1553" w:hanging="360"/>
      </w:pPr>
      <w:rPr>
        <w:rFonts w:ascii="Courier New" w:hAnsi="Courier New" w:cs="Courier New" w:hint="default"/>
      </w:rPr>
    </w:lvl>
    <w:lvl w:ilvl="2" w:tplc="08090005" w:tentative="1">
      <w:start w:val="1"/>
      <w:numFmt w:val="bullet"/>
      <w:lvlText w:val=""/>
      <w:lvlJc w:val="left"/>
      <w:pPr>
        <w:ind w:left="2273" w:hanging="360"/>
      </w:pPr>
      <w:rPr>
        <w:rFonts w:ascii="Wingdings" w:hAnsi="Wingdings" w:hint="default"/>
      </w:rPr>
    </w:lvl>
    <w:lvl w:ilvl="3" w:tplc="08090001" w:tentative="1">
      <w:start w:val="1"/>
      <w:numFmt w:val="bullet"/>
      <w:lvlText w:val=""/>
      <w:lvlJc w:val="left"/>
      <w:pPr>
        <w:ind w:left="2993" w:hanging="360"/>
      </w:pPr>
      <w:rPr>
        <w:rFonts w:ascii="Symbol" w:hAnsi="Symbol" w:hint="default"/>
      </w:rPr>
    </w:lvl>
    <w:lvl w:ilvl="4" w:tplc="08090003" w:tentative="1">
      <w:start w:val="1"/>
      <w:numFmt w:val="bullet"/>
      <w:lvlText w:val="o"/>
      <w:lvlJc w:val="left"/>
      <w:pPr>
        <w:ind w:left="3713" w:hanging="360"/>
      </w:pPr>
      <w:rPr>
        <w:rFonts w:ascii="Courier New" w:hAnsi="Courier New" w:cs="Courier New" w:hint="default"/>
      </w:rPr>
    </w:lvl>
    <w:lvl w:ilvl="5" w:tplc="08090005" w:tentative="1">
      <w:start w:val="1"/>
      <w:numFmt w:val="bullet"/>
      <w:lvlText w:val=""/>
      <w:lvlJc w:val="left"/>
      <w:pPr>
        <w:ind w:left="4433" w:hanging="360"/>
      </w:pPr>
      <w:rPr>
        <w:rFonts w:ascii="Wingdings" w:hAnsi="Wingdings" w:hint="default"/>
      </w:rPr>
    </w:lvl>
    <w:lvl w:ilvl="6" w:tplc="08090001" w:tentative="1">
      <w:start w:val="1"/>
      <w:numFmt w:val="bullet"/>
      <w:lvlText w:val=""/>
      <w:lvlJc w:val="left"/>
      <w:pPr>
        <w:ind w:left="5153" w:hanging="360"/>
      </w:pPr>
      <w:rPr>
        <w:rFonts w:ascii="Symbol" w:hAnsi="Symbol" w:hint="default"/>
      </w:rPr>
    </w:lvl>
    <w:lvl w:ilvl="7" w:tplc="08090003" w:tentative="1">
      <w:start w:val="1"/>
      <w:numFmt w:val="bullet"/>
      <w:lvlText w:val="o"/>
      <w:lvlJc w:val="left"/>
      <w:pPr>
        <w:ind w:left="5873" w:hanging="360"/>
      </w:pPr>
      <w:rPr>
        <w:rFonts w:ascii="Courier New" w:hAnsi="Courier New" w:cs="Courier New" w:hint="default"/>
      </w:rPr>
    </w:lvl>
    <w:lvl w:ilvl="8" w:tplc="08090005" w:tentative="1">
      <w:start w:val="1"/>
      <w:numFmt w:val="bullet"/>
      <w:lvlText w:val=""/>
      <w:lvlJc w:val="left"/>
      <w:pPr>
        <w:ind w:left="6593" w:hanging="360"/>
      </w:pPr>
      <w:rPr>
        <w:rFonts w:ascii="Wingdings" w:hAnsi="Wingdings" w:hint="default"/>
      </w:rPr>
    </w:lvl>
  </w:abstractNum>
  <w:abstractNum w:abstractNumId="17" w15:restartNumberingAfterBreak="0">
    <w:nsid w:val="374C0BD4"/>
    <w:multiLevelType w:val="hybridMultilevel"/>
    <w:tmpl w:val="B9405604"/>
    <w:lvl w:ilvl="0" w:tplc="814CE6F2">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5640548C" w:tentative="1">
      <w:start w:val="1"/>
      <w:numFmt w:val="bullet"/>
      <w:lvlText w:val="o"/>
      <w:lvlJc w:val="left"/>
      <w:pPr>
        <w:tabs>
          <w:tab w:val="num" w:pos="1440"/>
        </w:tabs>
        <w:ind w:left="1440" w:hanging="360"/>
      </w:pPr>
      <w:rPr>
        <w:rFonts w:ascii="Courier New" w:hAnsi="Courier New" w:cs="Wingdings" w:hint="default"/>
      </w:rPr>
    </w:lvl>
    <w:lvl w:ilvl="2" w:tplc="12E05CFC" w:tentative="1">
      <w:start w:val="1"/>
      <w:numFmt w:val="bullet"/>
      <w:lvlText w:val=""/>
      <w:lvlJc w:val="left"/>
      <w:pPr>
        <w:tabs>
          <w:tab w:val="num" w:pos="2160"/>
        </w:tabs>
        <w:ind w:left="2160" w:hanging="360"/>
      </w:pPr>
      <w:rPr>
        <w:rFonts w:ascii="Wingdings" w:hAnsi="Wingdings" w:hint="default"/>
      </w:rPr>
    </w:lvl>
    <w:lvl w:ilvl="3" w:tplc="C88C389E" w:tentative="1">
      <w:start w:val="1"/>
      <w:numFmt w:val="bullet"/>
      <w:lvlText w:val=""/>
      <w:lvlJc w:val="left"/>
      <w:pPr>
        <w:tabs>
          <w:tab w:val="num" w:pos="2880"/>
        </w:tabs>
        <w:ind w:left="2880" w:hanging="360"/>
      </w:pPr>
      <w:rPr>
        <w:rFonts w:ascii="Symbol" w:hAnsi="Symbol" w:hint="default"/>
      </w:rPr>
    </w:lvl>
    <w:lvl w:ilvl="4" w:tplc="853E1428" w:tentative="1">
      <w:start w:val="1"/>
      <w:numFmt w:val="bullet"/>
      <w:lvlText w:val="o"/>
      <w:lvlJc w:val="left"/>
      <w:pPr>
        <w:tabs>
          <w:tab w:val="num" w:pos="3600"/>
        </w:tabs>
        <w:ind w:left="3600" w:hanging="360"/>
      </w:pPr>
      <w:rPr>
        <w:rFonts w:ascii="Courier New" w:hAnsi="Courier New" w:cs="Wingdings" w:hint="default"/>
      </w:rPr>
    </w:lvl>
    <w:lvl w:ilvl="5" w:tplc="CAD25856" w:tentative="1">
      <w:start w:val="1"/>
      <w:numFmt w:val="bullet"/>
      <w:lvlText w:val=""/>
      <w:lvlJc w:val="left"/>
      <w:pPr>
        <w:tabs>
          <w:tab w:val="num" w:pos="4320"/>
        </w:tabs>
        <w:ind w:left="4320" w:hanging="360"/>
      </w:pPr>
      <w:rPr>
        <w:rFonts w:ascii="Wingdings" w:hAnsi="Wingdings" w:hint="default"/>
      </w:rPr>
    </w:lvl>
    <w:lvl w:ilvl="6" w:tplc="56488116" w:tentative="1">
      <w:start w:val="1"/>
      <w:numFmt w:val="bullet"/>
      <w:lvlText w:val=""/>
      <w:lvlJc w:val="left"/>
      <w:pPr>
        <w:tabs>
          <w:tab w:val="num" w:pos="5040"/>
        </w:tabs>
        <w:ind w:left="5040" w:hanging="360"/>
      </w:pPr>
      <w:rPr>
        <w:rFonts w:ascii="Symbol" w:hAnsi="Symbol" w:hint="default"/>
      </w:rPr>
    </w:lvl>
    <w:lvl w:ilvl="7" w:tplc="AFC8058E" w:tentative="1">
      <w:start w:val="1"/>
      <w:numFmt w:val="bullet"/>
      <w:lvlText w:val="o"/>
      <w:lvlJc w:val="left"/>
      <w:pPr>
        <w:tabs>
          <w:tab w:val="num" w:pos="5760"/>
        </w:tabs>
        <w:ind w:left="5760" w:hanging="360"/>
      </w:pPr>
      <w:rPr>
        <w:rFonts w:ascii="Courier New" w:hAnsi="Courier New" w:cs="Wingdings" w:hint="default"/>
      </w:rPr>
    </w:lvl>
    <w:lvl w:ilvl="8" w:tplc="926E013A"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1122076"/>
    <w:multiLevelType w:val="hybridMultilevel"/>
    <w:tmpl w:val="EABCEC46"/>
    <w:lvl w:ilvl="0" w:tplc="BE20507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14C318A"/>
    <w:multiLevelType w:val="hybridMultilevel"/>
    <w:tmpl w:val="8C365C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2852CC7"/>
    <w:multiLevelType w:val="hybridMultilevel"/>
    <w:tmpl w:val="BCFA3CF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59352D7"/>
    <w:multiLevelType w:val="multilevel"/>
    <w:tmpl w:val="69D0CED4"/>
    <w:lvl w:ilvl="0">
      <w:start w:val="1"/>
      <w:numFmt w:val="decimal"/>
      <w:lvlText w:val="%1"/>
      <w:lvlJc w:val="left"/>
      <w:pPr>
        <w:ind w:left="432" w:hanging="432"/>
      </w:pPr>
      <w:rPr>
        <w:rFonts w:hint="default"/>
      </w:rPr>
    </w:lvl>
    <w:lvl w:ilvl="1">
      <w:start w:val="1"/>
      <w:numFmt w:val="decimal"/>
      <w:lvlText w:val="%1.%2"/>
      <w:lvlJc w:val="left"/>
      <w:pPr>
        <w:ind w:left="576" w:hanging="576"/>
      </w:pPr>
      <w:rPr>
        <w:rFonts w:ascii="Arial" w:hAnsi="Arial" w:cs="Arial" w:hint="default"/>
        <w:i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2" w15:restartNumberingAfterBreak="0">
    <w:nsid w:val="461B36EC"/>
    <w:multiLevelType w:val="hybridMultilevel"/>
    <w:tmpl w:val="6B061B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7333AC0"/>
    <w:multiLevelType w:val="multilevel"/>
    <w:tmpl w:val="DFD47196"/>
    <w:lvl w:ilvl="0">
      <w:start w:val="1"/>
      <w:numFmt w:val="decimal"/>
      <w:lvlText w:val="%1"/>
      <w:lvlJc w:val="left"/>
      <w:pPr>
        <w:tabs>
          <w:tab w:val="num" w:pos="432"/>
        </w:tabs>
        <w:ind w:left="432" w:hanging="432"/>
      </w:pPr>
      <w:rPr>
        <w:rFonts w:cs="Times New Roman"/>
        <w:b/>
        <w:sz w:val="20"/>
        <w:szCs w:val="20"/>
      </w:rPr>
    </w:lvl>
    <w:lvl w:ilvl="1">
      <w:start w:val="1"/>
      <w:numFmt w:val="decimal"/>
      <w:lvlText w:val="%1.%2"/>
      <w:lvlJc w:val="left"/>
      <w:pPr>
        <w:tabs>
          <w:tab w:val="num" w:pos="576"/>
        </w:tabs>
        <w:ind w:left="576" w:hanging="576"/>
      </w:pPr>
      <w:rPr>
        <w:rFonts w:ascii="Calibri" w:hAnsi="Calibri" w:cs="Times New Roman" w:hint="default"/>
        <w:b w:val="0"/>
        <w:bCs w:val="0"/>
        <w:i w:val="0"/>
        <w:iCs w:val="0"/>
        <w:caps w:val="0"/>
        <w:smallCaps w:val="0"/>
        <w:strike w:val="0"/>
        <w:dstrike w:val="0"/>
        <w:color w:val="auto"/>
        <w:spacing w:val="0"/>
        <w:w w:val="100"/>
        <w:kern w:val="0"/>
        <w:position w:val="0"/>
        <w:sz w:val="22"/>
        <w:szCs w:val="22"/>
        <w:u w:val="none"/>
        <w:effect w:val="none"/>
      </w:rPr>
    </w:lvl>
    <w:lvl w:ilvl="2">
      <w:start w:val="1"/>
      <w:numFmt w:val="bullet"/>
      <w:lvlText w:val=""/>
      <w:lvlJc w:val="left"/>
      <w:pPr>
        <w:tabs>
          <w:tab w:val="num" w:pos="720"/>
        </w:tabs>
        <w:ind w:left="720" w:hanging="720"/>
      </w:pPr>
      <w:rPr>
        <w:rFonts w:ascii="Symbol" w:hAnsi="Symbol" w:hint="default"/>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4" w15:restartNumberingAfterBreak="0">
    <w:nsid w:val="48373085"/>
    <w:multiLevelType w:val="multilevel"/>
    <w:tmpl w:val="3D22BBA8"/>
    <w:lvl w:ilvl="0">
      <w:start w:val="1"/>
      <w:numFmt w:val="decimal"/>
      <w:lvlText w:val="%1"/>
      <w:lvlJc w:val="left"/>
      <w:pPr>
        <w:ind w:left="432" w:hanging="432"/>
      </w:pPr>
      <w:rPr>
        <w:rFonts w:hint="default"/>
      </w:rPr>
    </w:lvl>
    <w:lvl w:ilvl="1">
      <w:start w:val="1"/>
      <w:numFmt w:val="bullet"/>
      <w:lvlText w:val=""/>
      <w:lvlJc w:val="left"/>
      <w:pPr>
        <w:ind w:left="576" w:hanging="576"/>
      </w:pPr>
      <w:rPr>
        <w:rFonts w:ascii="Symbol" w:hAnsi="Symbol" w:hint="default"/>
        <w:i w:val="0"/>
        <w:color w:val="00000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5" w15:restartNumberingAfterBreak="0">
    <w:nsid w:val="49197B09"/>
    <w:multiLevelType w:val="hybridMultilevel"/>
    <w:tmpl w:val="938E428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6" w15:restartNumberingAfterBreak="0">
    <w:nsid w:val="536C23F9"/>
    <w:multiLevelType w:val="hybridMultilevel"/>
    <w:tmpl w:val="C52E1A40"/>
    <w:lvl w:ilvl="0" w:tplc="14068B92">
      <w:start w:val="21"/>
      <w:numFmt w:val="bullet"/>
      <w:lvlText w:val="-"/>
      <w:lvlJc w:val="left"/>
      <w:pPr>
        <w:ind w:left="927" w:hanging="360"/>
      </w:pPr>
      <w:rPr>
        <w:rFonts w:ascii="Arial" w:eastAsia="Times New Roman" w:hAnsi="Arial" w:cs="Aria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7" w15:restartNumberingAfterBreak="0">
    <w:nsid w:val="5DC5215B"/>
    <w:multiLevelType w:val="hybridMultilevel"/>
    <w:tmpl w:val="FF96C85C"/>
    <w:lvl w:ilvl="0" w:tplc="4DD69928">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2696A49E" w:tentative="1">
      <w:start w:val="1"/>
      <w:numFmt w:val="bullet"/>
      <w:lvlText w:val="o"/>
      <w:lvlJc w:val="left"/>
      <w:pPr>
        <w:tabs>
          <w:tab w:val="num" w:pos="2572"/>
        </w:tabs>
        <w:ind w:left="2572" w:hanging="360"/>
      </w:pPr>
      <w:rPr>
        <w:rFonts w:ascii="Courier New" w:hAnsi="Courier New" w:cs="Wingdings" w:hint="default"/>
      </w:rPr>
    </w:lvl>
    <w:lvl w:ilvl="2" w:tplc="F3664ED2" w:tentative="1">
      <w:start w:val="1"/>
      <w:numFmt w:val="bullet"/>
      <w:lvlText w:val=""/>
      <w:lvlJc w:val="left"/>
      <w:pPr>
        <w:tabs>
          <w:tab w:val="num" w:pos="3292"/>
        </w:tabs>
        <w:ind w:left="3292" w:hanging="360"/>
      </w:pPr>
      <w:rPr>
        <w:rFonts w:ascii="Wingdings" w:hAnsi="Wingdings" w:hint="default"/>
      </w:rPr>
    </w:lvl>
    <w:lvl w:ilvl="3" w:tplc="291EEC8C" w:tentative="1">
      <w:start w:val="1"/>
      <w:numFmt w:val="bullet"/>
      <w:lvlText w:val=""/>
      <w:lvlJc w:val="left"/>
      <w:pPr>
        <w:tabs>
          <w:tab w:val="num" w:pos="4012"/>
        </w:tabs>
        <w:ind w:left="4012" w:hanging="360"/>
      </w:pPr>
      <w:rPr>
        <w:rFonts w:ascii="Symbol" w:hAnsi="Symbol" w:hint="default"/>
      </w:rPr>
    </w:lvl>
    <w:lvl w:ilvl="4" w:tplc="7B062576" w:tentative="1">
      <w:start w:val="1"/>
      <w:numFmt w:val="bullet"/>
      <w:lvlText w:val="o"/>
      <w:lvlJc w:val="left"/>
      <w:pPr>
        <w:tabs>
          <w:tab w:val="num" w:pos="4732"/>
        </w:tabs>
        <w:ind w:left="4732" w:hanging="360"/>
      </w:pPr>
      <w:rPr>
        <w:rFonts w:ascii="Courier New" w:hAnsi="Courier New" w:cs="Wingdings" w:hint="default"/>
      </w:rPr>
    </w:lvl>
    <w:lvl w:ilvl="5" w:tplc="9612C70E" w:tentative="1">
      <w:start w:val="1"/>
      <w:numFmt w:val="bullet"/>
      <w:lvlText w:val=""/>
      <w:lvlJc w:val="left"/>
      <w:pPr>
        <w:tabs>
          <w:tab w:val="num" w:pos="5452"/>
        </w:tabs>
        <w:ind w:left="5452" w:hanging="360"/>
      </w:pPr>
      <w:rPr>
        <w:rFonts w:ascii="Wingdings" w:hAnsi="Wingdings" w:hint="default"/>
      </w:rPr>
    </w:lvl>
    <w:lvl w:ilvl="6" w:tplc="0F5C967C" w:tentative="1">
      <w:start w:val="1"/>
      <w:numFmt w:val="bullet"/>
      <w:lvlText w:val=""/>
      <w:lvlJc w:val="left"/>
      <w:pPr>
        <w:tabs>
          <w:tab w:val="num" w:pos="6172"/>
        </w:tabs>
        <w:ind w:left="6172" w:hanging="360"/>
      </w:pPr>
      <w:rPr>
        <w:rFonts w:ascii="Symbol" w:hAnsi="Symbol" w:hint="default"/>
      </w:rPr>
    </w:lvl>
    <w:lvl w:ilvl="7" w:tplc="921CBC4E" w:tentative="1">
      <w:start w:val="1"/>
      <w:numFmt w:val="bullet"/>
      <w:lvlText w:val="o"/>
      <w:lvlJc w:val="left"/>
      <w:pPr>
        <w:tabs>
          <w:tab w:val="num" w:pos="6892"/>
        </w:tabs>
        <w:ind w:left="6892" w:hanging="360"/>
      </w:pPr>
      <w:rPr>
        <w:rFonts w:ascii="Courier New" w:hAnsi="Courier New" w:cs="Wingdings" w:hint="default"/>
      </w:rPr>
    </w:lvl>
    <w:lvl w:ilvl="8" w:tplc="927E8ED6" w:tentative="1">
      <w:start w:val="1"/>
      <w:numFmt w:val="bullet"/>
      <w:lvlText w:val=""/>
      <w:lvlJc w:val="left"/>
      <w:pPr>
        <w:tabs>
          <w:tab w:val="num" w:pos="7612"/>
        </w:tabs>
        <w:ind w:left="7612" w:hanging="360"/>
      </w:pPr>
      <w:rPr>
        <w:rFonts w:ascii="Wingdings" w:hAnsi="Wingdings" w:hint="default"/>
      </w:rPr>
    </w:lvl>
  </w:abstractNum>
  <w:abstractNum w:abstractNumId="28" w15:restartNumberingAfterBreak="0">
    <w:nsid w:val="5E1B7C4A"/>
    <w:multiLevelType w:val="multilevel"/>
    <w:tmpl w:val="0B54E628"/>
    <w:lvl w:ilvl="0">
      <w:start w:val="1"/>
      <w:numFmt w:val="upperLetter"/>
      <w:pStyle w:val="ListNumber2"/>
      <w:lvlText w:val="%1"/>
      <w:lvlJc w:val="left"/>
      <w:pPr>
        <w:tabs>
          <w:tab w:val="num" w:pos="397"/>
        </w:tabs>
        <w:ind w:left="397" w:hanging="397"/>
      </w:pPr>
      <w:rPr>
        <w:rFonts w:ascii="Tahoma" w:hAnsi="Tahoma" w:hint="default"/>
        <w:b/>
        <w:i w:val="0"/>
        <w:color w:val="00B274"/>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9" w15:restartNumberingAfterBreak="0">
    <w:nsid w:val="5EFB047E"/>
    <w:multiLevelType w:val="hybridMultilevel"/>
    <w:tmpl w:val="D80AB038"/>
    <w:lvl w:ilvl="0" w:tplc="A342973A">
      <w:start w:val="1"/>
      <w:numFmt w:val="bullet"/>
      <w:pStyle w:val="ListContinue2"/>
      <w:lvlText w:val=""/>
      <w:lvlJc w:val="left"/>
      <w:pPr>
        <w:tabs>
          <w:tab w:val="num" w:pos="284"/>
        </w:tabs>
        <w:ind w:left="284" w:hanging="284"/>
      </w:pPr>
      <w:rPr>
        <w:rFonts w:ascii="Symbol" w:hAnsi="Symbol" w:hint="default"/>
        <w:color w:val="008576"/>
        <w:sz w:val="32"/>
      </w:rPr>
    </w:lvl>
    <w:lvl w:ilvl="1" w:tplc="395A8240" w:tentative="1">
      <w:start w:val="1"/>
      <w:numFmt w:val="bullet"/>
      <w:lvlText w:val="o"/>
      <w:lvlJc w:val="left"/>
      <w:pPr>
        <w:tabs>
          <w:tab w:val="num" w:pos="1440"/>
        </w:tabs>
        <w:ind w:left="1440" w:hanging="360"/>
      </w:pPr>
      <w:rPr>
        <w:rFonts w:ascii="Courier New" w:hAnsi="Courier New" w:cs="Wingdings" w:hint="default"/>
      </w:rPr>
    </w:lvl>
    <w:lvl w:ilvl="2" w:tplc="641C16E0" w:tentative="1">
      <w:start w:val="1"/>
      <w:numFmt w:val="bullet"/>
      <w:lvlText w:val=""/>
      <w:lvlJc w:val="left"/>
      <w:pPr>
        <w:tabs>
          <w:tab w:val="num" w:pos="2160"/>
        </w:tabs>
        <w:ind w:left="2160" w:hanging="360"/>
      </w:pPr>
      <w:rPr>
        <w:rFonts w:ascii="Wingdings" w:hAnsi="Wingdings" w:hint="default"/>
      </w:rPr>
    </w:lvl>
    <w:lvl w:ilvl="3" w:tplc="0554BEE4" w:tentative="1">
      <w:start w:val="1"/>
      <w:numFmt w:val="bullet"/>
      <w:lvlText w:val=""/>
      <w:lvlJc w:val="left"/>
      <w:pPr>
        <w:tabs>
          <w:tab w:val="num" w:pos="2880"/>
        </w:tabs>
        <w:ind w:left="2880" w:hanging="360"/>
      </w:pPr>
      <w:rPr>
        <w:rFonts w:ascii="Symbol" w:hAnsi="Symbol" w:hint="default"/>
      </w:rPr>
    </w:lvl>
    <w:lvl w:ilvl="4" w:tplc="B7D4CEA2" w:tentative="1">
      <w:start w:val="1"/>
      <w:numFmt w:val="bullet"/>
      <w:lvlText w:val="o"/>
      <w:lvlJc w:val="left"/>
      <w:pPr>
        <w:tabs>
          <w:tab w:val="num" w:pos="3600"/>
        </w:tabs>
        <w:ind w:left="3600" w:hanging="360"/>
      </w:pPr>
      <w:rPr>
        <w:rFonts w:ascii="Courier New" w:hAnsi="Courier New" w:cs="Wingdings" w:hint="default"/>
      </w:rPr>
    </w:lvl>
    <w:lvl w:ilvl="5" w:tplc="C852839C" w:tentative="1">
      <w:start w:val="1"/>
      <w:numFmt w:val="bullet"/>
      <w:lvlText w:val=""/>
      <w:lvlJc w:val="left"/>
      <w:pPr>
        <w:tabs>
          <w:tab w:val="num" w:pos="4320"/>
        </w:tabs>
        <w:ind w:left="4320" w:hanging="360"/>
      </w:pPr>
      <w:rPr>
        <w:rFonts w:ascii="Wingdings" w:hAnsi="Wingdings" w:hint="default"/>
      </w:rPr>
    </w:lvl>
    <w:lvl w:ilvl="6" w:tplc="914448B6" w:tentative="1">
      <w:start w:val="1"/>
      <w:numFmt w:val="bullet"/>
      <w:lvlText w:val=""/>
      <w:lvlJc w:val="left"/>
      <w:pPr>
        <w:tabs>
          <w:tab w:val="num" w:pos="5040"/>
        </w:tabs>
        <w:ind w:left="5040" w:hanging="360"/>
      </w:pPr>
      <w:rPr>
        <w:rFonts w:ascii="Symbol" w:hAnsi="Symbol" w:hint="default"/>
      </w:rPr>
    </w:lvl>
    <w:lvl w:ilvl="7" w:tplc="F0B87B7C" w:tentative="1">
      <w:start w:val="1"/>
      <w:numFmt w:val="bullet"/>
      <w:lvlText w:val="o"/>
      <w:lvlJc w:val="left"/>
      <w:pPr>
        <w:tabs>
          <w:tab w:val="num" w:pos="5760"/>
        </w:tabs>
        <w:ind w:left="5760" w:hanging="360"/>
      </w:pPr>
      <w:rPr>
        <w:rFonts w:ascii="Courier New" w:hAnsi="Courier New" w:cs="Wingdings" w:hint="default"/>
      </w:rPr>
    </w:lvl>
    <w:lvl w:ilvl="8" w:tplc="A8926530"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03E6462"/>
    <w:multiLevelType w:val="hybridMultilevel"/>
    <w:tmpl w:val="B508764C"/>
    <w:lvl w:ilvl="0" w:tplc="08561B2A">
      <w:start w:val="1"/>
      <w:numFmt w:val="decimal"/>
      <w:lvlText w:val="3.%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2" w15:restartNumberingAfterBreak="0">
    <w:nsid w:val="637C59D8"/>
    <w:multiLevelType w:val="hybridMultilevel"/>
    <w:tmpl w:val="E0FE30C4"/>
    <w:lvl w:ilvl="0" w:tplc="72DAAB02">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118685B6" w:tentative="1">
      <w:start w:val="1"/>
      <w:numFmt w:val="bullet"/>
      <w:lvlText w:val="o"/>
      <w:lvlJc w:val="left"/>
      <w:pPr>
        <w:tabs>
          <w:tab w:val="num" w:pos="1440"/>
        </w:tabs>
        <w:ind w:left="1440" w:hanging="360"/>
      </w:pPr>
      <w:rPr>
        <w:rFonts w:ascii="Courier New" w:hAnsi="Courier New" w:cs="Wingdings" w:hint="default"/>
      </w:rPr>
    </w:lvl>
    <w:lvl w:ilvl="2" w:tplc="FCBC4258" w:tentative="1">
      <w:start w:val="1"/>
      <w:numFmt w:val="bullet"/>
      <w:lvlText w:val=""/>
      <w:lvlJc w:val="left"/>
      <w:pPr>
        <w:tabs>
          <w:tab w:val="num" w:pos="2160"/>
        </w:tabs>
        <w:ind w:left="2160" w:hanging="360"/>
      </w:pPr>
      <w:rPr>
        <w:rFonts w:ascii="Wingdings" w:hAnsi="Wingdings" w:hint="default"/>
      </w:rPr>
    </w:lvl>
    <w:lvl w:ilvl="3" w:tplc="A0F6869A" w:tentative="1">
      <w:start w:val="1"/>
      <w:numFmt w:val="bullet"/>
      <w:lvlText w:val=""/>
      <w:lvlJc w:val="left"/>
      <w:pPr>
        <w:tabs>
          <w:tab w:val="num" w:pos="2880"/>
        </w:tabs>
        <w:ind w:left="2880" w:hanging="360"/>
      </w:pPr>
      <w:rPr>
        <w:rFonts w:ascii="Symbol" w:hAnsi="Symbol" w:hint="default"/>
      </w:rPr>
    </w:lvl>
    <w:lvl w:ilvl="4" w:tplc="3B383C20" w:tentative="1">
      <w:start w:val="1"/>
      <w:numFmt w:val="bullet"/>
      <w:lvlText w:val="o"/>
      <w:lvlJc w:val="left"/>
      <w:pPr>
        <w:tabs>
          <w:tab w:val="num" w:pos="3600"/>
        </w:tabs>
        <w:ind w:left="3600" w:hanging="360"/>
      </w:pPr>
      <w:rPr>
        <w:rFonts w:ascii="Courier New" w:hAnsi="Courier New" w:cs="Wingdings" w:hint="default"/>
      </w:rPr>
    </w:lvl>
    <w:lvl w:ilvl="5" w:tplc="E9BA0D3E" w:tentative="1">
      <w:start w:val="1"/>
      <w:numFmt w:val="bullet"/>
      <w:lvlText w:val=""/>
      <w:lvlJc w:val="left"/>
      <w:pPr>
        <w:tabs>
          <w:tab w:val="num" w:pos="4320"/>
        </w:tabs>
        <w:ind w:left="4320" w:hanging="360"/>
      </w:pPr>
      <w:rPr>
        <w:rFonts w:ascii="Wingdings" w:hAnsi="Wingdings" w:hint="default"/>
      </w:rPr>
    </w:lvl>
    <w:lvl w:ilvl="6" w:tplc="62E8E238" w:tentative="1">
      <w:start w:val="1"/>
      <w:numFmt w:val="bullet"/>
      <w:lvlText w:val=""/>
      <w:lvlJc w:val="left"/>
      <w:pPr>
        <w:tabs>
          <w:tab w:val="num" w:pos="5040"/>
        </w:tabs>
        <w:ind w:left="5040" w:hanging="360"/>
      </w:pPr>
      <w:rPr>
        <w:rFonts w:ascii="Symbol" w:hAnsi="Symbol" w:hint="default"/>
      </w:rPr>
    </w:lvl>
    <w:lvl w:ilvl="7" w:tplc="10B42B4E" w:tentative="1">
      <w:start w:val="1"/>
      <w:numFmt w:val="bullet"/>
      <w:lvlText w:val="o"/>
      <w:lvlJc w:val="left"/>
      <w:pPr>
        <w:tabs>
          <w:tab w:val="num" w:pos="5760"/>
        </w:tabs>
        <w:ind w:left="5760" w:hanging="360"/>
      </w:pPr>
      <w:rPr>
        <w:rFonts w:ascii="Courier New" w:hAnsi="Courier New" w:cs="Wingdings" w:hint="default"/>
      </w:rPr>
    </w:lvl>
    <w:lvl w:ilvl="8" w:tplc="B360E8AC"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3947461"/>
    <w:multiLevelType w:val="multilevel"/>
    <w:tmpl w:val="69D0CED4"/>
    <w:lvl w:ilvl="0">
      <w:start w:val="1"/>
      <w:numFmt w:val="decimal"/>
      <w:lvlText w:val="%1"/>
      <w:lvlJc w:val="left"/>
      <w:pPr>
        <w:ind w:left="432" w:hanging="432"/>
      </w:pPr>
      <w:rPr>
        <w:rFonts w:hint="default"/>
      </w:rPr>
    </w:lvl>
    <w:lvl w:ilvl="1">
      <w:start w:val="1"/>
      <w:numFmt w:val="decimal"/>
      <w:lvlText w:val="%1.%2"/>
      <w:lvlJc w:val="left"/>
      <w:pPr>
        <w:ind w:left="576" w:hanging="576"/>
      </w:pPr>
      <w:rPr>
        <w:rFonts w:ascii="Arial" w:hAnsi="Arial" w:cs="Arial" w:hint="default"/>
        <w:i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4" w15:restartNumberingAfterBreak="0">
    <w:nsid w:val="660103AC"/>
    <w:multiLevelType w:val="hybridMultilevel"/>
    <w:tmpl w:val="68BA44BE"/>
    <w:lvl w:ilvl="0" w:tplc="EE4ED8B0">
      <w:start w:val="1"/>
      <w:numFmt w:val="lowerLetter"/>
      <w:lvlText w:val="(%1)"/>
      <w:lvlJc w:val="left"/>
      <w:pPr>
        <w:ind w:left="1073" w:hanging="360"/>
      </w:pPr>
    </w:lvl>
    <w:lvl w:ilvl="1" w:tplc="08090019">
      <w:start w:val="1"/>
      <w:numFmt w:val="lowerLetter"/>
      <w:lvlText w:val="%2."/>
      <w:lvlJc w:val="left"/>
      <w:pPr>
        <w:ind w:left="1793" w:hanging="360"/>
      </w:pPr>
    </w:lvl>
    <w:lvl w:ilvl="2" w:tplc="0809001B">
      <w:start w:val="1"/>
      <w:numFmt w:val="lowerRoman"/>
      <w:lvlText w:val="%3."/>
      <w:lvlJc w:val="right"/>
      <w:pPr>
        <w:ind w:left="2513" w:hanging="180"/>
      </w:pPr>
    </w:lvl>
    <w:lvl w:ilvl="3" w:tplc="0809000F">
      <w:start w:val="1"/>
      <w:numFmt w:val="decimal"/>
      <w:lvlText w:val="%4."/>
      <w:lvlJc w:val="left"/>
      <w:pPr>
        <w:ind w:left="3233" w:hanging="360"/>
      </w:pPr>
    </w:lvl>
    <w:lvl w:ilvl="4" w:tplc="08090019">
      <w:start w:val="1"/>
      <w:numFmt w:val="lowerLetter"/>
      <w:lvlText w:val="%5."/>
      <w:lvlJc w:val="left"/>
      <w:pPr>
        <w:ind w:left="3953" w:hanging="360"/>
      </w:pPr>
    </w:lvl>
    <w:lvl w:ilvl="5" w:tplc="0809001B">
      <w:start w:val="1"/>
      <w:numFmt w:val="lowerRoman"/>
      <w:lvlText w:val="%6."/>
      <w:lvlJc w:val="right"/>
      <w:pPr>
        <w:ind w:left="4673" w:hanging="180"/>
      </w:pPr>
    </w:lvl>
    <w:lvl w:ilvl="6" w:tplc="0809000F">
      <w:start w:val="1"/>
      <w:numFmt w:val="decimal"/>
      <w:lvlText w:val="%7."/>
      <w:lvlJc w:val="left"/>
      <w:pPr>
        <w:ind w:left="5393" w:hanging="360"/>
      </w:pPr>
    </w:lvl>
    <w:lvl w:ilvl="7" w:tplc="08090019">
      <w:start w:val="1"/>
      <w:numFmt w:val="lowerLetter"/>
      <w:lvlText w:val="%8."/>
      <w:lvlJc w:val="left"/>
      <w:pPr>
        <w:ind w:left="6113" w:hanging="360"/>
      </w:pPr>
    </w:lvl>
    <w:lvl w:ilvl="8" w:tplc="0809001B">
      <w:start w:val="1"/>
      <w:numFmt w:val="lowerRoman"/>
      <w:lvlText w:val="%9."/>
      <w:lvlJc w:val="right"/>
      <w:pPr>
        <w:ind w:left="6833" w:hanging="180"/>
      </w:pPr>
    </w:lvl>
  </w:abstractNum>
  <w:abstractNum w:abstractNumId="35" w15:restartNumberingAfterBreak="0">
    <w:nsid w:val="704964A0"/>
    <w:multiLevelType w:val="multilevel"/>
    <w:tmpl w:val="69D0CED4"/>
    <w:lvl w:ilvl="0">
      <w:start w:val="1"/>
      <w:numFmt w:val="decimal"/>
      <w:lvlText w:val="%1"/>
      <w:lvlJc w:val="left"/>
      <w:pPr>
        <w:ind w:left="432" w:hanging="432"/>
      </w:pPr>
      <w:rPr>
        <w:rFonts w:hint="default"/>
      </w:rPr>
    </w:lvl>
    <w:lvl w:ilvl="1">
      <w:start w:val="1"/>
      <w:numFmt w:val="decimal"/>
      <w:lvlText w:val="%1.%2"/>
      <w:lvlJc w:val="left"/>
      <w:pPr>
        <w:ind w:left="576" w:hanging="576"/>
      </w:pPr>
      <w:rPr>
        <w:rFonts w:ascii="Arial" w:hAnsi="Arial" w:cs="Arial" w:hint="default"/>
        <w:i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6" w15:restartNumberingAfterBreak="0">
    <w:nsid w:val="76A86190"/>
    <w:multiLevelType w:val="multilevel"/>
    <w:tmpl w:val="28721648"/>
    <w:lvl w:ilvl="0">
      <w:start w:val="1"/>
      <w:numFmt w:val="bullet"/>
      <w:pStyle w:val="ListBullet2"/>
      <w:lvlText w:val=""/>
      <w:lvlJc w:val="left"/>
      <w:pPr>
        <w:tabs>
          <w:tab w:val="num" w:pos="284"/>
        </w:tabs>
        <w:ind w:left="284" w:hanging="284"/>
      </w:pPr>
      <w:rPr>
        <w:rFonts w:ascii="Symbol" w:hAnsi="Symbol" w:hint="default"/>
        <w:b w:val="0"/>
        <w:i w:val="0"/>
        <w:color w:val="auto"/>
        <w:sz w:val="20"/>
      </w:rPr>
    </w:lvl>
    <w:lvl w:ilvl="1">
      <w:start w:val="1"/>
      <w:numFmt w:val="bullet"/>
      <w:pStyle w:val="TableList"/>
      <w:lvlText w:val=""/>
      <w:lvlJc w:val="left"/>
      <w:pPr>
        <w:tabs>
          <w:tab w:val="num" w:pos="454"/>
        </w:tabs>
        <w:ind w:left="454" w:hanging="341"/>
      </w:pPr>
      <w:rPr>
        <w:rFonts w:ascii="Symbol" w:hAnsi="Symbol" w:hint="default"/>
        <w:b w:val="0"/>
        <w:i w:val="0"/>
        <w:color w:val="008DA8"/>
        <w:sz w:val="20"/>
      </w:rPr>
    </w:lvl>
    <w:lvl w:ilvl="2">
      <w:start w:val="1"/>
      <w:numFmt w:val="bullet"/>
      <w:lvlText w:val=""/>
      <w:lvlJc w:val="left"/>
      <w:pPr>
        <w:tabs>
          <w:tab w:val="num" w:pos="737"/>
        </w:tabs>
        <w:ind w:left="737" w:hanging="283"/>
      </w:pPr>
      <w:rPr>
        <w:rFonts w:ascii="Symbol" w:hAnsi="Symbol" w:hint="default"/>
        <w:b w:val="0"/>
        <w:i w:val="0"/>
        <w:color w:val="008DA8"/>
        <w:sz w:val="20"/>
      </w:rPr>
    </w:lvl>
    <w:lvl w:ilvl="3">
      <w:start w:val="1"/>
      <w:numFmt w:val="bullet"/>
      <w:lvlText w:val=""/>
      <w:lvlJc w:val="left"/>
      <w:pPr>
        <w:tabs>
          <w:tab w:val="num" w:pos="1191"/>
        </w:tabs>
        <w:ind w:left="1191" w:hanging="454"/>
      </w:pPr>
      <w:rPr>
        <w:rFonts w:ascii="Symbol" w:hAnsi="Symbol" w:hint="default"/>
        <w:b w:val="0"/>
        <w:i w:val="0"/>
        <w:color w:val="008DA8"/>
        <w:sz w:val="20"/>
      </w:rPr>
    </w:lvl>
    <w:lvl w:ilvl="4">
      <w:start w:val="1"/>
      <w:numFmt w:val="bullet"/>
      <w:lvlText w:val=""/>
      <w:lvlJc w:val="left"/>
      <w:pPr>
        <w:tabs>
          <w:tab w:val="num" w:pos="3119"/>
        </w:tabs>
        <w:ind w:left="3119" w:hanging="964"/>
      </w:pPr>
      <w:rPr>
        <w:rFonts w:ascii="Symbol" w:hAnsi="Symbol" w:hint="default"/>
        <w:b w:val="0"/>
        <w:i w:val="0"/>
        <w:color w:val="008DA8"/>
        <w:sz w:val="20"/>
      </w:rPr>
    </w:lvl>
    <w:lvl w:ilvl="5">
      <w:start w:val="1"/>
      <w:numFmt w:val="bullet"/>
      <w:lvlText w:val=""/>
      <w:lvlJc w:val="left"/>
      <w:pPr>
        <w:tabs>
          <w:tab w:val="num" w:pos="4253"/>
        </w:tabs>
        <w:ind w:left="4253" w:hanging="1134"/>
      </w:pPr>
      <w:rPr>
        <w:rFonts w:ascii="Symbol" w:hAnsi="Symbol" w:hint="default"/>
        <w:b w:val="0"/>
        <w:i w:val="0"/>
        <w:color w:val="008DA8"/>
        <w:sz w:val="20"/>
      </w:rPr>
    </w:lvl>
    <w:lvl w:ilvl="6">
      <w:start w:val="1"/>
      <w:numFmt w:val="bullet"/>
      <w:lvlText w:val=""/>
      <w:lvlJc w:val="left"/>
      <w:pPr>
        <w:tabs>
          <w:tab w:val="num" w:pos="5557"/>
        </w:tabs>
        <w:ind w:left="5557" w:hanging="1304"/>
      </w:pPr>
      <w:rPr>
        <w:rFonts w:ascii="Symbol" w:hAnsi="Symbol" w:hint="default"/>
        <w:b w:val="0"/>
        <w:i w:val="0"/>
        <w:color w:val="008DA8"/>
        <w:sz w:val="20"/>
      </w:rPr>
    </w:lvl>
    <w:lvl w:ilvl="7">
      <w:start w:val="1"/>
      <w:numFmt w:val="bullet"/>
      <w:lvlText w:val=""/>
      <w:lvlJc w:val="left"/>
      <w:pPr>
        <w:tabs>
          <w:tab w:val="num" w:pos="4706"/>
        </w:tabs>
        <w:ind w:left="4706" w:hanging="1077"/>
      </w:pPr>
      <w:rPr>
        <w:rFonts w:ascii="Symbol" w:hAnsi="Symbol" w:hint="default"/>
        <w:b w:val="0"/>
        <w:i w:val="0"/>
        <w:color w:val="008DA8"/>
        <w:sz w:val="20"/>
      </w:rPr>
    </w:lvl>
    <w:lvl w:ilvl="8">
      <w:start w:val="1"/>
      <w:numFmt w:val="bullet"/>
      <w:lvlText w:val=""/>
      <w:lvlJc w:val="left"/>
      <w:pPr>
        <w:tabs>
          <w:tab w:val="num" w:pos="7144"/>
        </w:tabs>
        <w:ind w:left="7144" w:hanging="1587"/>
      </w:pPr>
      <w:rPr>
        <w:rFonts w:ascii="Symbol" w:hAnsi="Symbol" w:hint="default"/>
        <w:b w:val="0"/>
        <w:i w:val="0"/>
        <w:color w:val="008DA8"/>
        <w:sz w:val="20"/>
      </w:rPr>
    </w:lvl>
  </w:abstractNum>
  <w:abstractNum w:abstractNumId="37" w15:restartNumberingAfterBreak="0">
    <w:nsid w:val="7A210585"/>
    <w:multiLevelType w:val="multilevel"/>
    <w:tmpl w:val="5EB249C0"/>
    <w:lvl w:ilvl="0">
      <w:start w:val="1"/>
      <w:numFmt w:val="decimal"/>
      <w:pStyle w:val="GSHeading1withnumb"/>
      <w:lvlText w:val="%1."/>
      <w:lvlJc w:val="left"/>
      <w:pPr>
        <w:tabs>
          <w:tab w:val="num" w:pos="567"/>
        </w:tabs>
        <w:ind w:left="567" w:hanging="567"/>
      </w:pPr>
      <w:rPr>
        <w:rFonts w:hint="default"/>
        <w:sz w:val="24"/>
      </w:rPr>
    </w:lvl>
    <w:lvl w:ilvl="1">
      <w:start w:val="1"/>
      <w:numFmt w:val="decimal"/>
      <w:pStyle w:val="GSBodyParawithnumb"/>
      <w:lvlText w:val="%1.%2"/>
      <w:lvlJc w:val="left"/>
      <w:pPr>
        <w:tabs>
          <w:tab w:val="num" w:pos="567"/>
        </w:tabs>
        <w:ind w:left="567" w:hanging="567"/>
      </w:pPr>
      <w:rPr>
        <w:rFonts w:ascii="Arial" w:hAnsi="Arial" w:cs="Arial" w:hint="default"/>
        <w:sz w:val="20"/>
        <w:szCs w:val="20"/>
      </w:rPr>
    </w:lvl>
    <w:lvl w:ilvl="2">
      <w:start w:val="1"/>
      <w:numFmt w:val="decimal"/>
      <w:lvlText w:val="%1.%2.%3"/>
      <w:lvlJc w:val="left"/>
      <w:pPr>
        <w:tabs>
          <w:tab w:val="num" w:pos="567"/>
        </w:tabs>
        <w:ind w:left="567" w:hanging="567"/>
      </w:pPr>
      <w:rPr>
        <w:rFonts w:ascii="Arial" w:hAnsi="Arial" w:cs="Arial" w:hint="default"/>
        <w:sz w:val="24"/>
      </w:rPr>
    </w:lvl>
    <w:lvl w:ilvl="3">
      <w:start w:val="1"/>
      <w:numFmt w:val="bullet"/>
      <w:lvlText w:val=""/>
      <w:lvlJc w:val="left"/>
      <w:pPr>
        <w:tabs>
          <w:tab w:val="num" w:pos="1134"/>
        </w:tabs>
        <w:ind w:left="1134" w:hanging="283"/>
      </w:pPr>
      <w:rPr>
        <w:rFonts w:ascii="Symbol" w:hAnsi="Symbol" w:hint="default"/>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abstractNum w:abstractNumId="38" w15:restartNumberingAfterBreak="0">
    <w:nsid w:val="7D1436E0"/>
    <w:multiLevelType w:val="hybridMultilevel"/>
    <w:tmpl w:val="A628F49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9" w15:restartNumberingAfterBreak="0">
    <w:nsid w:val="7FE65C17"/>
    <w:multiLevelType w:val="hybridMultilevel"/>
    <w:tmpl w:val="2EF259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6"/>
  </w:num>
  <w:num w:numId="2">
    <w:abstractNumId w:val="31"/>
  </w:num>
  <w:num w:numId="3">
    <w:abstractNumId w:val="11"/>
  </w:num>
  <w:num w:numId="4">
    <w:abstractNumId w:val="13"/>
  </w:num>
  <w:num w:numId="5">
    <w:abstractNumId w:val="6"/>
  </w:num>
  <w:num w:numId="6">
    <w:abstractNumId w:val="32"/>
  </w:num>
  <w:num w:numId="7">
    <w:abstractNumId w:val="17"/>
  </w:num>
  <w:num w:numId="8">
    <w:abstractNumId w:val="7"/>
  </w:num>
  <w:num w:numId="9">
    <w:abstractNumId w:val="29"/>
  </w:num>
  <w:num w:numId="10">
    <w:abstractNumId w:val="27"/>
  </w:num>
  <w:num w:numId="11">
    <w:abstractNumId w:val="5"/>
  </w:num>
  <w:num w:numId="12">
    <w:abstractNumId w:val="4"/>
  </w:num>
  <w:num w:numId="13">
    <w:abstractNumId w:val="28"/>
  </w:num>
  <w:num w:numId="14">
    <w:abstractNumId w:val="2"/>
  </w:num>
  <w:num w:numId="15">
    <w:abstractNumId w:val="0"/>
  </w:num>
  <w:num w:numId="16">
    <w:abstractNumId w:val="22"/>
  </w:num>
  <w:num w:numId="17">
    <w:abstractNumId w:val="36"/>
  </w:num>
  <w:num w:numId="18">
    <w:abstractNumId w:val="36"/>
  </w:num>
  <w:num w:numId="19">
    <w:abstractNumId w:val="25"/>
  </w:num>
  <w:num w:numId="20">
    <w:abstractNumId w:val="20"/>
  </w:num>
  <w:num w:numId="21">
    <w:abstractNumId w:val="33"/>
  </w:num>
  <w:num w:numId="22">
    <w:abstractNumId w:val="35"/>
  </w:num>
  <w:num w:numId="23">
    <w:abstractNumId w:val="14"/>
  </w:num>
  <w:num w:numId="24">
    <w:abstractNumId w:val="38"/>
  </w:num>
  <w:num w:numId="25">
    <w:abstractNumId w:val="23"/>
  </w:num>
  <w:num w:numId="26">
    <w:abstractNumId w:val="3"/>
  </w:num>
  <w:num w:numId="27">
    <w:abstractNumId w:val="21"/>
  </w:num>
  <w:num w:numId="28">
    <w:abstractNumId w:val="15"/>
  </w:num>
  <w:num w:numId="29">
    <w:abstractNumId w:val="18"/>
  </w:num>
  <w:num w:numId="30">
    <w:abstractNumId w:val="1"/>
  </w:num>
  <w:num w:numId="31">
    <w:abstractNumId w:val="24"/>
  </w:num>
  <w:num w:numId="32">
    <w:abstractNumId w:val="26"/>
  </w:num>
  <w:num w:numId="33">
    <w:abstractNumId w:val="39"/>
  </w:num>
  <w:num w:numId="34">
    <w:abstractNumId w:val="12"/>
  </w:num>
  <w:num w:numId="35">
    <w:abstractNumId w:val="19"/>
  </w:num>
  <w:num w:numId="36">
    <w:abstractNumId w:val="37"/>
  </w:num>
  <w:num w:numId="37">
    <w:abstractNumId w:val="37"/>
    <w:lvlOverride w:ilvl="0">
      <w:startOverride w:val="1"/>
    </w:lvlOverride>
    <w:lvlOverride w:ilvl="1">
      <w:startOverride w:val="1"/>
    </w:lvlOverride>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38">
    <w:abstractNumId w:val="8"/>
  </w:num>
  <w:num w:numId="39">
    <w:abstractNumId w:val="16"/>
  </w:num>
  <w:num w:numId="40">
    <w:abstractNumId w:val="9"/>
  </w:num>
  <w:num w:numId="41">
    <w:abstractNumId w:val="30"/>
  </w:num>
  <w:num w:numId="42">
    <w:abstractNumId w:val="10"/>
  </w:num>
  <w:num w:numId="4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ollie Nicholls">
    <w15:presenceInfo w15:providerId="AD" w15:userId="S-1-5-21-1220945662-1229272821-1417001333-10671"/>
  </w15:person>
  <w15:person w15:author="John Lawton">
    <w15:presenceInfo w15:providerId="Windows Live" w15:userId="72feda8039a275c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1B99"/>
    <w:rsid w:val="00000007"/>
    <w:rsid w:val="0000002F"/>
    <w:rsid w:val="00003462"/>
    <w:rsid w:val="00004426"/>
    <w:rsid w:val="00004A78"/>
    <w:rsid w:val="00005C2A"/>
    <w:rsid w:val="00010E94"/>
    <w:rsid w:val="0001312A"/>
    <w:rsid w:val="000131C0"/>
    <w:rsid w:val="000140D5"/>
    <w:rsid w:val="00014A06"/>
    <w:rsid w:val="00015169"/>
    <w:rsid w:val="00021E27"/>
    <w:rsid w:val="0002309B"/>
    <w:rsid w:val="00026A6A"/>
    <w:rsid w:val="00027B6F"/>
    <w:rsid w:val="000363FA"/>
    <w:rsid w:val="00040622"/>
    <w:rsid w:val="00041A17"/>
    <w:rsid w:val="000427B0"/>
    <w:rsid w:val="00043976"/>
    <w:rsid w:val="00046CCC"/>
    <w:rsid w:val="0005400A"/>
    <w:rsid w:val="000546C7"/>
    <w:rsid w:val="00055793"/>
    <w:rsid w:val="0005617C"/>
    <w:rsid w:val="000561DC"/>
    <w:rsid w:val="00057C9D"/>
    <w:rsid w:val="00060F89"/>
    <w:rsid w:val="00062E0D"/>
    <w:rsid w:val="00064C18"/>
    <w:rsid w:val="00067E74"/>
    <w:rsid w:val="00071B36"/>
    <w:rsid w:val="000744F0"/>
    <w:rsid w:val="0007537E"/>
    <w:rsid w:val="00082674"/>
    <w:rsid w:val="00082F1D"/>
    <w:rsid w:val="00096C4E"/>
    <w:rsid w:val="000A0930"/>
    <w:rsid w:val="000A29C5"/>
    <w:rsid w:val="000A3240"/>
    <w:rsid w:val="000A36A8"/>
    <w:rsid w:val="000A4B7C"/>
    <w:rsid w:val="000B007D"/>
    <w:rsid w:val="000B2E3D"/>
    <w:rsid w:val="000B5D6C"/>
    <w:rsid w:val="000B6BBE"/>
    <w:rsid w:val="000C0555"/>
    <w:rsid w:val="000C24FA"/>
    <w:rsid w:val="000C37E0"/>
    <w:rsid w:val="000D1ECA"/>
    <w:rsid w:val="000D3D47"/>
    <w:rsid w:val="000D5720"/>
    <w:rsid w:val="000D66EC"/>
    <w:rsid w:val="000E0100"/>
    <w:rsid w:val="000E034A"/>
    <w:rsid w:val="000E19B4"/>
    <w:rsid w:val="000E2E48"/>
    <w:rsid w:val="000E3F5B"/>
    <w:rsid w:val="000E76BF"/>
    <w:rsid w:val="000F2C8E"/>
    <w:rsid w:val="0010060E"/>
    <w:rsid w:val="00101817"/>
    <w:rsid w:val="001052FF"/>
    <w:rsid w:val="001060C1"/>
    <w:rsid w:val="00111F27"/>
    <w:rsid w:val="00112F45"/>
    <w:rsid w:val="00113A6E"/>
    <w:rsid w:val="001156D2"/>
    <w:rsid w:val="00116E9B"/>
    <w:rsid w:val="001216C5"/>
    <w:rsid w:val="0012496E"/>
    <w:rsid w:val="00124E8E"/>
    <w:rsid w:val="0012717A"/>
    <w:rsid w:val="00133BE8"/>
    <w:rsid w:val="001378FB"/>
    <w:rsid w:val="0014021A"/>
    <w:rsid w:val="0014046B"/>
    <w:rsid w:val="00143041"/>
    <w:rsid w:val="0014327C"/>
    <w:rsid w:val="001445A0"/>
    <w:rsid w:val="001451F4"/>
    <w:rsid w:val="00146470"/>
    <w:rsid w:val="00150E95"/>
    <w:rsid w:val="00151CCE"/>
    <w:rsid w:val="001532A3"/>
    <w:rsid w:val="00153A6A"/>
    <w:rsid w:val="00153B91"/>
    <w:rsid w:val="00160B8D"/>
    <w:rsid w:val="0016191F"/>
    <w:rsid w:val="00164E30"/>
    <w:rsid w:val="001657CF"/>
    <w:rsid w:val="00166566"/>
    <w:rsid w:val="00172A66"/>
    <w:rsid w:val="00174D21"/>
    <w:rsid w:val="001762D1"/>
    <w:rsid w:val="00182A0C"/>
    <w:rsid w:val="001834A2"/>
    <w:rsid w:val="0018581B"/>
    <w:rsid w:val="0018792D"/>
    <w:rsid w:val="00187969"/>
    <w:rsid w:val="00187E2F"/>
    <w:rsid w:val="001937A0"/>
    <w:rsid w:val="00193F47"/>
    <w:rsid w:val="00197A37"/>
    <w:rsid w:val="001A1E20"/>
    <w:rsid w:val="001A5839"/>
    <w:rsid w:val="001A6F74"/>
    <w:rsid w:val="001B2D7A"/>
    <w:rsid w:val="001C01D5"/>
    <w:rsid w:val="001C0AAE"/>
    <w:rsid w:val="001C0C6E"/>
    <w:rsid w:val="001C207A"/>
    <w:rsid w:val="001C460B"/>
    <w:rsid w:val="001C665E"/>
    <w:rsid w:val="001C6A08"/>
    <w:rsid w:val="001D0B92"/>
    <w:rsid w:val="001D0F31"/>
    <w:rsid w:val="001D12EB"/>
    <w:rsid w:val="001D3EFD"/>
    <w:rsid w:val="001D42E7"/>
    <w:rsid w:val="001D602B"/>
    <w:rsid w:val="001D7EC5"/>
    <w:rsid w:val="001E1FFB"/>
    <w:rsid w:val="001E2563"/>
    <w:rsid w:val="001E32D7"/>
    <w:rsid w:val="001E3B06"/>
    <w:rsid w:val="001E5D9F"/>
    <w:rsid w:val="001E6DCF"/>
    <w:rsid w:val="001F0E93"/>
    <w:rsid w:val="001F36FC"/>
    <w:rsid w:val="001F3812"/>
    <w:rsid w:val="001F4DA0"/>
    <w:rsid w:val="001F5AAF"/>
    <w:rsid w:val="001F6DA9"/>
    <w:rsid w:val="001F7908"/>
    <w:rsid w:val="001F7D0E"/>
    <w:rsid w:val="002036BB"/>
    <w:rsid w:val="002047E2"/>
    <w:rsid w:val="00205E60"/>
    <w:rsid w:val="00207680"/>
    <w:rsid w:val="002111BF"/>
    <w:rsid w:val="002126D4"/>
    <w:rsid w:val="002129EC"/>
    <w:rsid w:val="00212BF5"/>
    <w:rsid w:val="0021418F"/>
    <w:rsid w:val="002148B6"/>
    <w:rsid w:val="00214FF5"/>
    <w:rsid w:val="00215877"/>
    <w:rsid w:val="00215C1A"/>
    <w:rsid w:val="002161A4"/>
    <w:rsid w:val="00222723"/>
    <w:rsid w:val="002249A0"/>
    <w:rsid w:val="00225E0E"/>
    <w:rsid w:val="00225F2B"/>
    <w:rsid w:val="002272EF"/>
    <w:rsid w:val="00231812"/>
    <w:rsid w:val="0023362D"/>
    <w:rsid w:val="00233E58"/>
    <w:rsid w:val="00235524"/>
    <w:rsid w:val="00236CC6"/>
    <w:rsid w:val="00236DCB"/>
    <w:rsid w:val="0024000A"/>
    <w:rsid w:val="00240674"/>
    <w:rsid w:val="002426A7"/>
    <w:rsid w:val="00244589"/>
    <w:rsid w:val="002518AB"/>
    <w:rsid w:val="00251F86"/>
    <w:rsid w:val="00256075"/>
    <w:rsid w:val="00256566"/>
    <w:rsid w:val="00260BAE"/>
    <w:rsid w:val="00260C2C"/>
    <w:rsid w:val="002612FD"/>
    <w:rsid w:val="00263600"/>
    <w:rsid w:val="002660EC"/>
    <w:rsid w:val="00266BC0"/>
    <w:rsid w:val="00270472"/>
    <w:rsid w:val="00272979"/>
    <w:rsid w:val="002733C1"/>
    <w:rsid w:val="00273DE7"/>
    <w:rsid w:val="002744D3"/>
    <w:rsid w:val="00275260"/>
    <w:rsid w:val="002758A6"/>
    <w:rsid w:val="00276D11"/>
    <w:rsid w:val="00281CF1"/>
    <w:rsid w:val="00281F45"/>
    <w:rsid w:val="00286CBD"/>
    <w:rsid w:val="00290F86"/>
    <w:rsid w:val="00291083"/>
    <w:rsid w:val="00291586"/>
    <w:rsid w:val="00295499"/>
    <w:rsid w:val="002A0D66"/>
    <w:rsid w:val="002A1442"/>
    <w:rsid w:val="002A369F"/>
    <w:rsid w:val="002B1D49"/>
    <w:rsid w:val="002B385B"/>
    <w:rsid w:val="002B4393"/>
    <w:rsid w:val="002B6671"/>
    <w:rsid w:val="002B68DB"/>
    <w:rsid w:val="002B6F90"/>
    <w:rsid w:val="002C07B9"/>
    <w:rsid w:val="002C0F95"/>
    <w:rsid w:val="002C1553"/>
    <w:rsid w:val="002C7630"/>
    <w:rsid w:val="002C7A84"/>
    <w:rsid w:val="002D25F9"/>
    <w:rsid w:val="002D5DFC"/>
    <w:rsid w:val="002D6272"/>
    <w:rsid w:val="002D65AF"/>
    <w:rsid w:val="002D7C43"/>
    <w:rsid w:val="002E0E9A"/>
    <w:rsid w:val="002E224D"/>
    <w:rsid w:val="002E244B"/>
    <w:rsid w:val="002E2ECA"/>
    <w:rsid w:val="002F0224"/>
    <w:rsid w:val="002F0D77"/>
    <w:rsid w:val="002F0E78"/>
    <w:rsid w:val="002F13B8"/>
    <w:rsid w:val="002F357D"/>
    <w:rsid w:val="002F40F9"/>
    <w:rsid w:val="002F6A92"/>
    <w:rsid w:val="002F6CD0"/>
    <w:rsid w:val="00301DAF"/>
    <w:rsid w:val="0030272D"/>
    <w:rsid w:val="00302F67"/>
    <w:rsid w:val="0030347F"/>
    <w:rsid w:val="00303614"/>
    <w:rsid w:val="00305819"/>
    <w:rsid w:val="00305AC5"/>
    <w:rsid w:val="00306BF5"/>
    <w:rsid w:val="00310346"/>
    <w:rsid w:val="003133F9"/>
    <w:rsid w:val="00313E9E"/>
    <w:rsid w:val="00313FE4"/>
    <w:rsid w:val="00316676"/>
    <w:rsid w:val="00316758"/>
    <w:rsid w:val="00320457"/>
    <w:rsid w:val="003221E9"/>
    <w:rsid w:val="003233E7"/>
    <w:rsid w:val="0033097B"/>
    <w:rsid w:val="003314E2"/>
    <w:rsid w:val="00331AA6"/>
    <w:rsid w:val="003328B8"/>
    <w:rsid w:val="00332FE3"/>
    <w:rsid w:val="00335479"/>
    <w:rsid w:val="00336821"/>
    <w:rsid w:val="00341CAD"/>
    <w:rsid w:val="00344177"/>
    <w:rsid w:val="00344FDC"/>
    <w:rsid w:val="00345171"/>
    <w:rsid w:val="003456CF"/>
    <w:rsid w:val="00345728"/>
    <w:rsid w:val="00351769"/>
    <w:rsid w:val="00351960"/>
    <w:rsid w:val="00351B9D"/>
    <w:rsid w:val="00352A27"/>
    <w:rsid w:val="0035487C"/>
    <w:rsid w:val="003557B1"/>
    <w:rsid w:val="00357570"/>
    <w:rsid w:val="00360C37"/>
    <w:rsid w:val="00362030"/>
    <w:rsid w:val="00363FE9"/>
    <w:rsid w:val="00365246"/>
    <w:rsid w:val="00367F60"/>
    <w:rsid w:val="0037034E"/>
    <w:rsid w:val="00370895"/>
    <w:rsid w:val="003711F3"/>
    <w:rsid w:val="00372C0A"/>
    <w:rsid w:val="00374D22"/>
    <w:rsid w:val="0037500E"/>
    <w:rsid w:val="003775D5"/>
    <w:rsid w:val="00377752"/>
    <w:rsid w:val="00380C64"/>
    <w:rsid w:val="00381EB7"/>
    <w:rsid w:val="00382814"/>
    <w:rsid w:val="00386096"/>
    <w:rsid w:val="00390D19"/>
    <w:rsid w:val="00390E3C"/>
    <w:rsid w:val="003920ED"/>
    <w:rsid w:val="00392156"/>
    <w:rsid w:val="00393BC8"/>
    <w:rsid w:val="003971AB"/>
    <w:rsid w:val="003A016A"/>
    <w:rsid w:val="003A0852"/>
    <w:rsid w:val="003A294F"/>
    <w:rsid w:val="003A2970"/>
    <w:rsid w:val="003A2AA8"/>
    <w:rsid w:val="003A2BCC"/>
    <w:rsid w:val="003A2BFE"/>
    <w:rsid w:val="003A3EEB"/>
    <w:rsid w:val="003A40AA"/>
    <w:rsid w:val="003A4FC7"/>
    <w:rsid w:val="003A6CCA"/>
    <w:rsid w:val="003B0780"/>
    <w:rsid w:val="003B0B34"/>
    <w:rsid w:val="003B1A71"/>
    <w:rsid w:val="003B4359"/>
    <w:rsid w:val="003B44D0"/>
    <w:rsid w:val="003B5816"/>
    <w:rsid w:val="003B615E"/>
    <w:rsid w:val="003B65A6"/>
    <w:rsid w:val="003C160E"/>
    <w:rsid w:val="003C1BBC"/>
    <w:rsid w:val="003C1E4D"/>
    <w:rsid w:val="003C22DF"/>
    <w:rsid w:val="003C3301"/>
    <w:rsid w:val="003C3B5C"/>
    <w:rsid w:val="003C457B"/>
    <w:rsid w:val="003C6AB2"/>
    <w:rsid w:val="003D0281"/>
    <w:rsid w:val="003D416F"/>
    <w:rsid w:val="003D41D8"/>
    <w:rsid w:val="003D5877"/>
    <w:rsid w:val="003D6504"/>
    <w:rsid w:val="003E0757"/>
    <w:rsid w:val="003E0B53"/>
    <w:rsid w:val="003E16D8"/>
    <w:rsid w:val="003E1B16"/>
    <w:rsid w:val="003E63E9"/>
    <w:rsid w:val="003E6920"/>
    <w:rsid w:val="003F030F"/>
    <w:rsid w:val="003F0B70"/>
    <w:rsid w:val="003F0D27"/>
    <w:rsid w:val="003F1C1E"/>
    <w:rsid w:val="003F2A86"/>
    <w:rsid w:val="003F4DE2"/>
    <w:rsid w:val="003F7D71"/>
    <w:rsid w:val="004028D5"/>
    <w:rsid w:val="004045E4"/>
    <w:rsid w:val="00407BD8"/>
    <w:rsid w:val="004130FC"/>
    <w:rsid w:val="00413790"/>
    <w:rsid w:val="00413CFB"/>
    <w:rsid w:val="00416FC8"/>
    <w:rsid w:val="00420FB8"/>
    <w:rsid w:val="004214E3"/>
    <w:rsid w:val="00421B40"/>
    <w:rsid w:val="00422258"/>
    <w:rsid w:val="0042584E"/>
    <w:rsid w:val="00426FD6"/>
    <w:rsid w:val="00427291"/>
    <w:rsid w:val="00430E90"/>
    <w:rsid w:val="00432081"/>
    <w:rsid w:val="00433909"/>
    <w:rsid w:val="00433CFE"/>
    <w:rsid w:val="00435C42"/>
    <w:rsid w:val="00435CF2"/>
    <w:rsid w:val="00436AEA"/>
    <w:rsid w:val="00440FAE"/>
    <w:rsid w:val="004410C9"/>
    <w:rsid w:val="00441173"/>
    <w:rsid w:val="0044228E"/>
    <w:rsid w:val="004428DE"/>
    <w:rsid w:val="00445D85"/>
    <w:rsid w:val="00446636"/>
    <w:rsid w:val="00447064"/>
    <w:rsid w:val="00450385"/>
    <w:rsid w:val="004504EA"/>
    <w:rsid w:val="00455E09"/>
    <w:rsid w:val="004570AC"/>
    <w:rsid w:val="0045753B"/>
    <w:rsid w:val="004579CF"/>
    <w:rsid w:val="0046001A"/>
    <w:rsid w:val="00461C2F"/>
    <w:rsid w:val="00463EF6"/>
    <w:rsid w:val="0046735A"/>
    <w:rsid w:val="00467CA8"/>
    <w:rsid w:val="00473B9D"/>
    <w:rsid w:val="004845B4"/>
    <w:rsid w:val="0048657A"/>
    <w:rsid w:val="004867CC"/>
    <w:rsid w:val="004903F8"/>
    <w:rsid w:val="00490CAA"/>
    <w:rsid w:val="004958FC"/>
    <w:rsid w:val="004A105A"/>
    <w:rsid w:val="004A22E8"/>
    <w:rsid w:val="004A3116"/>
    <w:rsid w:val="004A3386"/>
    <w:rsid w:val="004A4900"/>
    <w:rsid w:val="004A5970"/>
    <w:rsid w:val="004A631D"/>
    <w:rsid w:val="004B0EA7"/>
    <w:rsid w:val="004B1725"/>
    <w:rsid w:val="004B27FB"/>
    <w:rsid w:val="004B292D"/>
    <w:rsid w:val="004B376C"/>
    <w:rsid w:val="004B53C8"/>
    <w:rsid w:val="004B6091"/>
    <w:rsid w:val="004B7ABF"/>
    <w:rsid w:val="004C2609"/>
    <w:rsid w:val="004C2C09"/>
    <w:rsid w:val="004C4371"/>
    <w:rsid w:val="004C49C3"/>
    <w:rsid w:val="004C6117"/>
    <w:rsid w:val="004C66D0"/>
    <w:rsid w:val="004C6C14"/>
    <w:rsid w:val="004C7FAB"/>
    <w:rsid w:val="004D09F0"/>
    <w:rsid w:val="004D0D74"/>
    <w:rsid w:val="004D149E"/>
    <w:rsid w:val="004D1CB3"/>
    <w:rsid w:val="004D20F3"/>
    <w:rsid w:val="004D38F0"/>
    <w:rsid w:val="004D430C"/>
    <w:rsid w:val="004D5378"/>
    <w:rsid w:val="004D638C"/>
    <w:rsid w:val="004E2468"/>
    <w:rsid w:val="004E5B3F"/>
    <w:rsid w:val="004E5E00"/>
    <w:rsid w:val="004F4A12"/>
    <w:rsid w:val="00500707"/>
    <w:rsid w:val="005023B5"/>
    <w:rsid w:val="00504E6C"/>
    <w:rsid w:val="00505792"/>
    <w:rsid w:val="005079E0"/>
    <w:rsid w:val="005101F4"/>
    <w:rsid w:val="00512137"/>
    <w:rsid w:val="00513062"/>
    <w:rsid w:val="00513631"/>
    <w:rsid w:val="0051566C"/>
    <w:rsid w:val="005177DA"/>
    <w:rsid w:val="00520724"/>
    <w:rsid w:val="00523793"/>
    <w:rsid w:val="005251AD"/>
    <w:rsid w:val="00526695"/>
    <w:rsid w:val="00526D50"/>
    <w:rsid w:val="00530EF5"/>
    <w:rsid w:val="005310CC"/>
    <w:rsid w:val="00531B35"/>
    <w:rsid w:val="005352A6"/>
    <w:rsid w:val="005357A0"/>
    <w:rsid w:val="005373FB"/>
    <w:rsid w:val="00540357"/>
    <w:rsid w:val="00540493"/>
    <w:rsid w:val="00545D78"/>
    <w:rsid w:val="005469C0"/>
    <w:rsid w:val="00546EF7"/>
    <w:rsid w:val="005475A3"/>
    <w:rsid w:val="005479D6"/>
    <w:rsid w:val="0055068A"/>
    <w:rsid w:val="0055653E"/>
    <w:rsid w:val="0055672D"/>
    <w:rsid w:val="00560EF2"/>
    <w:rsid w:val="00561CEC"/>
    <w:rsid w:val="00561CED"/>
    <w:rsid w:val="005626E5"/>
    <w:rsid w:val="005649CA"/>
    <w:rsid w:val="00564AD1"/>
    <w:rsid w:val="00566807"/>
    <w:rsid w:val="005703B3"/>
    <w:rsid w:val="005720CF"/>
    <w:rsid w:val="00575D4F"/>
    <w:rsid w:val="00580576"/>
    <w:rsid w:val="00582E0D"/>
    <w:rsid w:val="00583165"/>
    <w:rsid w:val="00584C7B"/>
    <w:rsid w:val="00586BD1"/>
    <w:rsid w:val="00587E1E"/>
    <w:rsid w:val="005908D1"/>
    <w:rsid w:val="005930F8"/>
    <w:rsid w:val="005977CB"/>
    <w:rsid w:val="00597D29"/>
    <w:rsid w:val="005A0143"/>
    <w:rsid w:val="005A1E00"/>
    <w:rsid w:val="005A2A2B"/>
    <w:rsid w:val="005A4046"/>
    <w:rsid w:val="005A4F5D"/>
    <w:rsid w:val="005A532B"/>
    <w:rsid w:val="005A6174"/>
    <w:rsid w:val="005A7145"/>
    <w:rsid w:val="005B0B30"/>
    <w:rsid w:val="005B105E"/>
    <w:rsid w:val="005B31AC"/>
    <w:rsid w:val="005B33F9"/>
    <w:rsid w:val="005B378E"/>
    <w:rsid w:val="005C0AA5"/>
    <w:rsid w:val="005C1952"/>
    <w:rsid w:val="005C1F41"/>
    <w:rsid w:val="005C20E9"/>
    <w:rsid w:val="005C2175"/>
    <w:rsid w:val="005C22EF"/>
    <w:rsid w:val="005C2EC5"/>
    <w:rsid w:val="005D12F7"/>
    <w:rsid w:val="005D1C6B"/>
    <w:rsid w:val="005D4418"/>
    <w:rsid w:val="005D4631"/>
    <w:rsid w:val="005D4958"/>
    <w:rsid w:val="005D4A2B"/>
    <w:rsid w:val="005D5753"/>
    <w:rsid w:val="005D72CA"/>
    <w:rsid w:val="005E103C"/>
    <w:rsid w:val="005E3915"/>
    <w:rsid w:val="005E661A"/>
    <w:rsid w:val="005F3932"/>
    <w:rsid w:val="005F4AE3"/>
    <w:rsid w:val="005F6CFF"/>
    <w:rsid w:val="005F75C4"/>
    <w:rsid w:val="00600B78"/>
    <w:rsid w:val="00602C94"/>
    <w:rsid w:val="0060457E"/>
    <w:rsid w:val="00610152"/>
    <w:rsid w:val="00610C8D"/>
    <w:rsid w:val="00613074"/>
    <w:rsid w:val="006159D7"/>
    <w:rsid w:val="00616E62"/>
    <w:rsid w:val="0062062A"/>
    <w:rsid w:val="00620A04"/>
    <w:rsid w:val="00622259"/>
    <w:rsid w:val="00622DC8"/>
    <w:rsid w:val="00623022"/>
    <w:rsid w:val="006248E3"/>
    <w:rsid w:val="00624FA6"/>
    <w:rsid w:val="00627983"/>
    <w:rsid w:val="00630F15"/>
    <w:rsid w:val="0063134F"/>
    <w:rsid w:val="00631710"/>
    <w:rsid w:val="0063186C"/>
    <w:rsid w:val="00631EBB"/>
    <w:rsid w:val="00632719"/>
    <w:rsid w:val="00633E15"/>
    <w:rsid w:val="00635FC4"/>
    <w:rsid w:val="006361BA"/>
    <w:rsid w:val="0063761E"/>
    <w:rsid w:val="00637680"/>
    <w:rsid w:val="006377B6"/>
    <w:rsid w:val="00637CD6"/>
    <w:rsid w:val="00642E23"/>
    <w:rsid w:val="00642EBA"/>
    <w:rsid w:val="006440DE"/>
    <w:rsid w:val="006446DD"/>
    <w:rsid w:val="00647335"/>
    <w:rsid w:val="00650186"/>
    <w:rsid w:val="006509B3"/>
    <w:rsid w:val="00651C5F"/>
    <w:rsid w:val="00652D78"/>
    <w:rsid w:val="006533C3"/>
    <w:rsid w:val="006551B8"/>
    <w:rsid w:val="00661EB9"/>
    <w:rsid w:val="00663388"/>
    <w:rsid w:val="00665358"/>
    <w:rsid w:val="006653B5"/>
    <w:rsid w:val="0067097E"/>
    <w:rsid w:val="00670EE8"/>
    <w:rsid w:val="0067184E"/>
    <w:rsid w:val="00671CD7"/>
    <w:rsid w:val="00673F4F"/>
    <w:rsid w:val="0067455A"/>
    <w:rsid w:val="00674659"/>
    <w:rsid w:val="006853CF"/>
    <w:rsid w:val="00685740"/>
    <w:rsid w:val="00686AE9"/>
    <w:rsid w:val="006876B6"/>
    <w:rsid w:val="00690389"/>
    <w:rsid w:val="00691A06"/>
    <w:rsid w:val="00692C72"/>
    <w:rsid w:val="00694865"/>
    <w:rsid w:val="00697683"/>
    <w:rsid w:val="006A0767"/>
    <w:rsid w:val="006A109D"/>
    <w:rsid w:val="006A143D"/>
    <w:rsid w:val="006A395F"/>
    <w:rsid w:val="006A5279"/>
    <w:rsid w:val="006A5DD2"/>
    <w:rsid w:val="006B68D8"/>
    <w:rsid w:val="006B6D83"/>
    <w:rsid w:val="006C1856"/>
    <w:rsid w:val="006C1C50"/>
    <w:rsid w:val="006C5683"/>
    <w:rsid w:val="006C798B"/>
    <w:rsid w:val="006D0CC1"/>
    <w:rsid w:val="006D0E98"/>
    <w:rsid w:val="006D0FB6"/>
    <w:rsid w:val="006D1F16"/>
    <w:rsid w:val="006D5084"/>
    <w:rsid w:val="006D6DB1"/>
    <w:rsid w:val="006D73EA"/>
    <w:rsid w:val="006D75CD"/>
    <w:rsid w:val="006E1566"/>
    <w:rsid w:val="006E7327"/>
    <w:rsid w:val="006E7560"/>
    <w:rsid w:val="006E7A7E"/>
    <w:rsid w:val="006F19E3"/>
    <w:rsid w:val="006F243E"/>
    <w:rsid w:val="006F3C8E"/>
    <w:rsid w:val="006F4689"/>
    <w:rsid w:val="006F4798"/>
    <w:rsid w:val="006F795B"/>
    <w:rsid w:val="007015FF"/>
    <w:rsid w:val="00701A3B"/>
    <w:rsid w:val="00701D85"/>
    <w:rsid w:val="00701E18"/>
    <w:rsid w:val="0070415F"/>
    <w:rsid w:val="00706916"/>
    <w:rsid w:val="00710290"/>
    <w:rsid w:val="00710C7E"/>
    <w:rsid w:val="00710E92"/>
    <w:rsid w:val="00711658"/>
    <w:rsid w:val="0071547D"/>
    <w:rsid w:val="00722FCE"/>
    <w:rsid w:val="0072385C"/>
    <w:rsid w:val="00726171"/>
    <w:rsid w:val="00731B99"/>
    <w:rsid w:val="00733D46"/>
    <w:rsid w:val="00733F4B"/>
    <w:rsid w:val="00734630"/>
    <w:rsid w:val="00736081"/>
    <w:rsid w:val="007374B9"/>
    <w:rsid w:val="00737853"/>
    <w:rsid w:val="00740A8F"/>
    <w:rsid w:val="00742876"/>
    <w:rsid w:val="0074415E"/>
    <w:rsid w:val="00745C95"/>
    <w:rsid w:val="00747A24"/>
    <w:rsid w:val="007554E3"/>
    <w:rsid w:val="007607E8"/>
    <w:rsid w:val="007608FF"/>
    <w:rsid w:val="00760BD6"/>
    <w:rsid w:val="007626D9"/>
    <w:rsid w:val="007666BA"/>
    <w:rsid w:val="00766874"/>
    <w:rsid w:val="00771ACE"/>
    <w:rsid w:val="00772942"/>
    <w:rsid w:val="00774F15"/>
    <w:rsid w:val="00774FB4"/>
    <w:rsid w:val="00775EF4"/>
    <w:rsid w:val="00780130"/>
    <w:rsid w:val="00784486"/>
    <w:rsid w:val="00787EDB"/>
    <w:rsid w:val="0079113B"/>
    <w:rsid w:val="007917E9"/>
    <w:rsid w:val="00794845"/>
    <w:rsid w:val="00797AA8"/>
    <w:rsid w:val="007A0FB2"/>
    <w:rsid w:val="007A1530"/>
    <w:rsid w:val="007A1926"/>
    <w:rsid w:val="007A20B6"/>
    <w:rsid w:val="007A4F58"/>
    <w:rsid w:val="007A6725"/>
    <w:rsid w:val="007A7ADD"/>
    <w:rsid w:val="007B002D"/>
    <w:rsid w:val="007B2962"/>
    <w:rsid w:val="007B42B2"/>
    <w:rsid w:val="007B4476"/>
    <w:rsid w:val="007C00DA"/>
    <w:rsid w:val="007C0E16"/>
    <w:rsid w:val="007C2555"/>
    <w:rsid w:val="007C39B0"/>
    <w:rsid w:val="007C4E55"/>
    <w:rsid w:val="007C6041"/>
    <w:rsid w:val="007C7FB5"/>
    <w:rsid w:val="007D0577"/>
    <w:rsid w:val="007D49BC"/>
    <w:rsid w:val="007D7C47"/>
    <w:rsid w:val="007E1A43"/>
    <w:rsid w:val="007E22A9"/>
    <w:rsid w:val="007E3C0E"/>
    <w:rsid w:val="007E572E"/>
    <w:rsid w:val="007E718E"/>
    <w:rsid w:val="007F44BF"/>
    <w:rsid w:val="00804E16"/>
    <w:rsid w:val="008115C5"/>
    <w:rsid w:val="00812C70"/>
    <w:rsid w:val="0081327E"/>
    <w:rsid w:val="0081418A"/>
    <w:rsid w:val="008149B0"/>
    <w:rsid w:val="008177D7"/>
    <w:rsid w:val="008204FF"/>
    <w:rsid w:val="00822D9F"/>
    <w:rsid w:val="00826203"/>
    <w:rsid w:val="008272A5"/>
    <w:rsid w:val="008277A6"/>
    <w:rsid w:val="00832598"/>
    <w:rsid w:val="00833183"/>
    <w:rsid w:val="00833221"/>
    <w:rsid w:val="0084076A"/>
    <w:rsid w:val="008423A3"/>
    <w:rsid w:val="00845557"/>
    <w:rsid w:val="00846D9D"/>
    <w:rsid w:val="00850F86"/>
    <w:rsid w:val="00851017"/>
    <w:rsid w:val="00851229"/>
    <w:rsid w:val="008518B3"/>
    <w:rsid w:val="0085211A"/>
    <w:rsid w:val="00853B23"/>
    <w:rsid w:val="00856C0B"/>
    <w:rsid w:val="00857BF6"/>
    <w:rsid w:val="0086142A"/>
    <w:rsid w:val="00861D88"/>
    <w:rsid w:val="00862D16"/>
    <w:rsid w:val="00864823"/>
    <w:rsid w:val="0087362B"/>
    <w:rsid w:val="00876FA4"/>
    <w:rsid w:val="00880168"/>
    <w:rsid w:val="00882D3C"/>
    <w:rsid w:val="008847ED"/>
    <w:rsid w:val="00884F54"/>
    <w:rsid w:val="00887D24"/>
    <w:rsid w:val="00892D3B"/>
    <w:rsid w:val="00895154"/>
    <w:rsid w:val="00897EDC"/>
    <w:rsid w:val="008A17EB"/>
    <w:rsid w:val="008A2F12"/>
    <w:rsid w:val="008A5134"/>
    <w:rsid w:val="008A5F56"/>
    <w:rsid w:val="008B303B"/>
    <w:rsid w:val="008B354F"/>
    <w:rsid w:val="008B37A3"/>
    <w:rsid w:val="008B6CCD"/>
    <w:rsid w:val="008C1321"/>
    <w:rsid w:val="008C1351"/>
    <w:rsid w:val="008C4954"/>
    <w:rsid w:val="008C5774"/>
    <w:rsid w:val="008C579E"/>
    <w:rsid w:val="008D0FCF"/>
    <w:rsid w:val="008D37F6"/>
    <w:rsid w:val="008D4F1C"/>
    <w:rsid w:val="008D5B54"/>
    <w:rsid w:val="008D6266"/>
    <w:rsid w:val="008D7983"/>
    <w:rsid w:val="008D7BF0"/>
    <w:rsid w:val="008F09A9"/>
    <w:rsid w:val="00900963"/>
    <w:rsid w:val="00904440"/>
    <w:rsid w:val="0090492C"/>
    <w:rsid w:val="00911546"/>
    <w:rsid w:val="009121FF"/>
    <w:rsid w:val="009129DC"/>
    <w:rsid w:val="00913148"/>
    <w:rsid w:val="009208D8"/>
    <w:rsid w:val="00922CD2"/>
    <w:rsid w:val="00922DBD"/>
    <w:rsid w:val="0092387F"/>
    <w:rsid w:val="00925F3A"/>
    <w:rsid w:val="00926505"/>
    <w:rsid w:val="009265C0"/>
    <w:rsid w:val="00926C69"/>
    <w:rsid w:val="00926F0E"/>
    <w:rsid w:val="00935573"/>
    <w:rsid w:val="009356A2"/>
    <w:rsid w:val="0094118A"/>
    <w:rsid w:val="00944047"/>
    <w:rsid w:val="009469BE"/>
    <w:rsid w:val="0094797C"/>
    <w:rsid w:val="00947DC2"/>
    <w:rsid w:val="00951FDE"/>
    <w:rsid w:val="00954773"/>
    <w:rsid w:val="00954FC6"/>
    <w:rsid w:val="00957FBC"/>
    <w:rsid w:val="00960420"/>
    <w:rsid w:val="00960714"/>
    <w:rsid w:val="0096255F"/>
    <w:rsid w:val="0096574A"/>
    <w:rsid w:val="00967C6A"/>
    <w:rsid w:val="009704FB"/>
    <w:rsid w:val="009710EF"/>
    <w:rsid w:val="0097527E"/>
    <w:rsid w:val="00977CD0"/>
    <w:rsid w:val="009832ED"/>
    <w:rsid w:val="00985B9D"/>
    <w:rsid w:val="00985FC1"/>
    <w:rsid w:val="00986F73"/>
    <w:rsid w:val="00991785"/>
    <w:rsid w:val="009926A0"/>
    <w:rsid w:val="00992F3F"/>
    <w:rsid w:val="00993E9F"/>
    <w:rsid w:val="00994B34"/>
    <w:rsid w:val="00994EF3"/>
    <w:rsid w:val="009958EC"/>
    <w:rsid w:val="00995FFC"/>
    <w:rsid w:val="00997577"/>
    <w:rsid w:val="00997E96"/>
    <w:rsid w:val="009A03A4"/>
    <w:rsid w:val="009A1FC2"/>
    <w:rsid w:val="009A200B"/>
    <w:rsid w:val="009B035B"/>
    <w:rsid w:val="009B1183"/>
    <w:rsid w:val="009B1B76"/>
    <w:rsid w:val="009B280E"/>
    <w:rsid w:val="009B356B"/>
    <w:rsid w:val="009B449F"/>
    <w:rsid w:val="009C0C5C"/>
    <w:rsid w:val="009C1C52"/>
    <w:rsid w:val="009C2EA4"/>
    <w:rsid w:val="009C3D87"/>
    <w:rsid w:val="009C4C72"/>
    <w:rsid w:val="009C7CDB"/>
    <w:rsid w:val="009D1A9A"/>
    <w:rsid w:val="009D28E8"/>
    <w:rsid w:val="009D7913"/>
    <w:rsid w:val="009D7B56"/>
    <w:rsid w:val="009E1A09"/>
    <w:rsid w:val="009E2351"/>
    <w:rsid w:val="009E318C"/>
    <w:rsid w:val="009E4D2D"/>
    <w:rsid w:val="009E63A4"/>
    <w:rsid w:val="009E7589"/>
    <w:rsid w:val="009F1896"/>
    <w:rsid w:val="009F18DD"/>
    <w:rsid w:val="009F3981"/>
    <w:rsid w:val="009F4D87"/>
    <w:rsid w:val="009F70E9"/>
    <w:rsid w:val="00A00B4A"/>
    <w:rsid w:val="00A03894"/>
    <w:rsid w:val="00A05A57"/>
    <w:rsid w:val="00A0777B"/>
    <w:rsid w:val="00A10251"/>
    <w:rsid w:val="00A115C6"/>
    <w:rsid w:val="00A13230"/>
    <w:rsid w:val="00A13762"/>
    <w:rsid w:val="00A1395B"/>
    <w:rsid w:val="00A16360"/>
    <w:rsid w:val="00A23C16"/>
    <w:rsid w:val="00A25D84"/>
    <w:rsid w:val="00A26182"/>
    <w:rsid w:val="00A31D12"/>
    <w:rsid w:val="00A400FF"/>
    <w:rsid w:val="00A4337D"/>
    <w:rsid w:val="00A45862"/>
    <w:rsid w:val="00A45D4A"/>
    <w:rsid w:val="00A460C2"/>
    <w:rsid w:val="00A50878"/>
    <w:rsid w:val="00A51787"/>
    <w:rsid w:val="00A54CE1"/>
    <w:rsid w:val="00A55182"/>
    <w:rsid w:val="00A56ED0"/>
    <w:rsid w:val="00A579D3"/>
    <w:rsid w:val="00A64A9C"/>
    <w:rsid w:val="00A66894"/>
    <w:rsid w:val="00A71718"/>
    <w:rsid w:val="00A76E89"/>
    <w:rsid w:val="00A809BC"/>
    <w:rsid w:val="00A80EE0"/>
    <w:rsid w:val="00A81649"/>
    <w:rsid w:val="00A81AA5"/>
    <w:rsid w:val="00A83B53"/>
    <w:rsid w:val="00A84AF7"/>
    <w:rsid w:val="00A85694"/>
    <w:rsid w:val="00A85792"/>
    <w:rsid w:val="00A860EB"/>
    <w:rsid w:val="00A92D47"/>
    <w:rsid w:val="00A93BF0"/>
    <w:rsid w:val="00A9474F"/>
    <w:rsid w:val="00A94C94"/>
    <w:rsid w:val="00A96295"/>
    <w:rsid w:val="00A96555"/>
    <w:rsid w:val="00A967DA"/>
    <w:rsid w:val="00A968AB"/>
    <w:rsid w:val="00A97DD5"/>
    <w:rsid w:val="00AA004B"/>
    <w:rsid w:val="00AA35F7"/>
    <w:rsid w:val="00AA463E"/>
    <w:rsid w:val="00AA69EF"/>
    <w:rsid w:val="00AB2DA2"/>
    <w:rsid w:val="00AB3915"/>
    <w:rsid w:val="00AC0309"/>
    <w:rsid w:val="00AC0716"/>
    <w:rsid w:val="00AC5BEF"/>
    <w:rsid w:val="00AC68BE"/>
    <w:rsid w:val="00AD0028"/>
    <w:rsid w:val="00AD0DC0"/>
    <w:rsid w:val="00AD111B"/>
    <w:rsid w:val="00AD59E1"/>
    <w:rsid w:val="00AD606D"/>
    <w:rsid w:val="00AD60AF"/>
    <w:rsid w:val="00AE4FA9"/>
    <w:rsid w:val="00AE52CF"/>
    <w:rsid w:val="00AE5F4A"/>
    <w:rsid w:val="00AE7C82"/>
    <w:rsid w:val="00AF30A5"/>
    <w:rsid w:val="00AF3186"/>
    <w:rsid w:val="00AF3FDD"/>
    <w:rsid w:val="00AF5B6E"/>
    <w:rsid w:val="00AF7744"/>
    <w:rsid w:val="00B02CAC"/>
    <w:rsid w:val="00B036F8"/>
    <w:rsid w:val="00B057CB"/>
    <w:rsid w:val="00B05E6D"/>
    <w:rsid w:val="00B10136"/>
    <w:rsid w:val="00B128A6"/>
    <w:rsid w:val="00B12CBD"/>
    <w:rsid w:val="00B320DC"/>
    <w:rsid w:val="00B3268E"/>
    <w:rsid w:val="00B35A8E"/>
    <w:rsid w:val="00B35BFA"/>
    <w:rsid w:val="00B4014F"/>
    <w:rsid w:val="00B43F40"/>
    <w:rsid w:val="00B45635"/>
    <w:rsid w:val="00B45A79"/>
    <w:rsid w:val="00B52044"/>
    <w:rsid w:val="00B52063"/>
    <w:rsid w:val="00B53898"/>
    <w:rsid w:val="00B539A1"/>
    <w:rsid w:val="00B53A32"/>
    <w:rsid w:val="00B53C15"/>
    <w:rsid w:val="00B5624F"/>
    <w:rsid w:val="00B562DD"/>
    <w:rsid w:val="00B5701B"/>
    <w:rsid w:val="00B615CC"/>
    <w:rsid w:val="00B6291B"/>
    <w:rsid w:val="00B7023F"/>
    <w:rsid w:val="00B708FB"/>
    <w:rsid w:val="00B74667"/>
    <w:rsid w:val="00B7491A"/>
    <w:rsid w:val="00B7630C"/>
    <w:rsid w:val="00B81C73"/>
    <w:rsid w:val="00B81F70"/>
    <w:rsid w:val="00B82B8A"/>
    <w:rsid w:val="00B85DF4"/>
    <w:rsid w:val="00B86694"/>
    <w:rsid w:val="00B927C9"/>
    <w:rsid w:val="00B9451F"/>
    <w:rsid w:val="00BA1341"/>
    <w:rsid w:val="00BA67D0"/>
    <w:rsid w:val="00BB1762"/>
    <w:rsid w:val="00BB32F0"/>
    <w:rsid w:val="00BB3DE9"/>
    <w:rsid w:val="00BB473F"/>
    <w:rsid w:val="00BC05A6"/>
    <w:rsid w:val="00BC0C56"/>
    <w:rsid w:val="00BC10C2"/>
    <w:rsid w:val="00BC1CFB"/>
    <w:rsid w:val="00BC6FE3"/>
    <w:rsid w:val="00BC73ED"/>
    <w:rsid w:val="00BD10A6"/>
    <w:rsid w:val="00BD22CE"/>
    <w:rsid w:val="00BD2399"/>
    <w:rsid w:val="00BD2C86"/>
    <w:rsid w:val="00BD3E31"/>
    <w:rsid w:val="00BD4335"/>
    <w:rsid w:val="00BD500A"/>
    <w:rsid w:val="00BD78DB"/>
    <w:rsid w:val="00BE4349"/>
    <w:rsid w:val="00BE4BC2"/>
    <w:rsid w:val="00BE50AA"/>
    <w:rsid w:val="00BE56D0"/>
    <w:rsid w:val="00BE7316"/>
    <w:rsid w:val="00BE7C55"/>
    <w:rsid w:val="00BF00E3"/>
    <w:rsid w:val="00BF0C5F"/>
    <w:rsid w:val="00BF15F9"/>
    <w:rsid w:val="00BF329F"/>
    <w:rsid w:val="00BF42D5"/>
    <w:rsid w:val="00BF4DA1"/>
    <w:rsid w:val="00BF4EEF"/>
    <w:rsid w:val="00C07897"/>
    <w:rsid w:val="00C07E01"/>
    <w:rsid w:val="00C10827"/>
    <w:rsid w:val="00C11964"/>
    <w:rsid w:val="00C13AFC"/>
    <w:rsid w:val="00C14277"/>
    <w:rsid w:val="00C22C46"/>
    <w:rsid w:val="00C236F4"/>
    <w:rsid w:val="00C25E26"/>
    <w:rsid w:val="00C270FE"/>
    <w:rsid w:val="00C3182A"/>
    <w:rsid w:val="00C31A20"/>
    <w:rsid w:val="00C328D1"/>
    <w:rsid w:val="00C3321C"/>
    <w:rsid w:val="00C33F33"/>
    <w:rsid w:val="00C345E1"/>
    <w:rsid w:val="00C356E8"/>
    <w:rsid w:val="00C35840"/>
    <w:rsid w:val="00C35A97"/>
    <w:rsid w:val="00C3726E"/>
    <w:rsid w:val="00C40943"/>
    <w:rsid w:val="00C4255E"/>
    <w:rsid w:val="00C4569B"/>
    <w:rsid w:val="00C471ED"/>
    <w:rsid w:val="00C5056D"/>
    <w:rsid w:val="00C50F95"/>
    <w:rsid w:val="00C5414E"/>
    <w:rsid w:val="00C607C9"/>
    <w:rsid w:val="00C64B15"/>
    <w:rsid w:val="00C65823"/>
    <w:rsid w:val="00C66FC4"/>
    <w:rsid w:val="00C67F24"/>
    <w:rsid w:val="00C72782"/>
    <w:rsid w:val="00C730A2"/>
    <w:rsid w:val="00C73E6F"/>
    <w:rsid w:val="00C75154"/>
    <w:rsid w:val="00C76D9F"/>
    <w:rsid w:val="00C77978"/>
    <w:rsid w:val="00C80BD9"/>
    <w:rsid w:val="00C8353B"/>
    <w:rsid w:val="00C83898"/>
    <w:rsid w:val="00C84998"/>
    <w:rsid w:val="00C867BC"/>
    <w:rsid w:val="00C924ED"/>
    <w:rsid w:val="00C93823"/>
    <w:rsid w:val="00C94C69"/>
    <w:rsid w:val="00C94E7B"/>
    <w:rsid w:val="00C954D7"/>
    <w:rsid w:val="00CA02C6"/>
    <w:rsid w:val="00CA0C76"/>
    <w:rsid w:val="00CA0EB9"/>
    <w:rsid w:val="00CA136E"/>
    <w:rsid w:val="00CA2BEE"/>
    <w:rsid w:val="00CA3E8B"/>
    <w:rsid w:val="00CA4EA1"/>
    <w:rsid w:val="00CA587F"/>
    <w:rsid w:val="00CA6F12"/>
    <w:rsid w:val="00CA75DC"/>
    <w:rsid w:val="00CA7800"/>
    <w:rsid w:val="00CA7D25"/>
    <w:rsid w:val="00CB2A38"/>
    <w:rsid w:val="00CB4FD7"/>
    <w:rsid w:val="00CB5D46"/>
    <w:rsid w:val="00CB5E98"/>
    <w:rsid w:val="00CB6330"/>
    <w:rsid w:val="00CC0C7A"/>
    <w:rsid w:val="00CC2FE8"/>
    <w:rsid w:val="00CC39D2"/>
    <w:rsid w:val="00CC7FC5"/>
    <w:rsid w:val="00CD4346"/>
    <w:rsid w:val="00CD70EB"/>
    <w:rsid w:val="00CD719F"/>
    <w:rsid w:val="00CD7D5E"/>
    <w:rsid w:val="00CE19AC"/>
    <w:rsid w:val="00CE30C5"/>
    <w:rsid w:val="00CE5938"/>
    <w:rsid w:val="00CE6A89"/>
    <w:rsid w:val="00CE7F33"/>
    <w:rsid w:val="00CF2531"/>
    <w:rsid w:val="00CF549A"/>
    <w:rsid w:val="00D00AC3"/>
    <w:rsid w:val="00D0327C"/>
    <w:rsid w:val="00D03C41"/>
    <w:rsid w:val="00D057A6"/>
    <w:rsid w:val="00D06875"/>
    <w:rsid w:val="00D07265"/>
    <w:rsid w:val="00D122BE"/>
    <w:rsid w:val="00D12FD8"/>
    <w:rsid w:val="00D1342E"/>
    <w:rsid w:val="00D1530C"/>
    <w:rsid w:val="00D1613E"/>
    <w:rsid w:val="00D20C24"/>
    <w:rsid w:val="00D22230"/>
    <w:rsid w:val="00D22CEB"/>
    <w:rsid w:val="00D253BF"/>
    <w:rsid w:val="00D3131F"/>
    <w:rsid w:val="00D31789"/>
    <w:rsid w:val="00D3397C"/>
    <w:rsid w:val="00D349D1"/>
    <w:rsid w:val="00D34E70"/>
    <w:rsid w:val="00D35A55"/>
    <w:rsid w:val="00D35D07"/>
    <w:rsid w:val="00D363E8"/>
    <w:rsid w:val="00D3651A"/>
    <w:rsid w:val="00D36FC3"/>
    <w:rsid w:val="00D4084D"/>
    <w:rsid w:val="00D41486"/>
    <w:rsid w:val="00D4173D"/>
    <w:rsid w:val="00D42CA7"/>
    <w:rsid w:val="00D436E1"/>
    <w:rsid w:val="00D46846"/>
    <w:rsid w:val="00D47ED1"/>
    <w:rsid w:val="00D50089"/>
    <w:rsid w:val="00D519F7"/>
    <w:rsid w:val="00D54568"/>
    <w:rsid w:val="00D55589"/>
    <w:rsid w:val="00D620D5"/>
    <w:rsid w:val="00D630E4"/>
    <w:rsid w:val="00D635CE"/>
    <w:rsid w:val="00D63847"/>
    <w:rsid w:val="00D7092D"/>
    <w:rsid w:val="00D726B0"/>
    <w:rsid w:val="00D80A98"/>
    <w:rsid w:val="00D850CE"/>
    <w:rsid w:val="00D8769C"/>
    <w:rsid w:val="00D87EE8"/>
    <w:rsid w:val="00D90F5D"/>
    <w:rsid w:val="00D91047"/>
    <w:rsid w:val="00D93A95"/>
    <w:rsid w:val="00DA0B1F"/>
    <w:rsid w:val="00DA31E2"/>
    <w:rsid w:val="00DA4B02"/>
    <w:rsid w:val="00DA5836"/>
    <w:rsid w:val="00DA5D86"/>
    <w:rsid w:val="00DA5F89"/>
    <w:rsid w:val="00DA6586"/>
    <w:rsid w:val="00DA6C89"/>
    <w:rsid w:val="00DB05AE"/>
    <w:rsid w:val="00DB118D"/>
    <w:rsid w:val="00DB4413"/>
    <w:rsid w:val="00DB5096"/>
    <w:rsid w:val="00DC25CD"/>
    <w:rsid w:val="00DC3562"/>
    <w:rsid w:val="00DC3ADD"/>
    <w:rsid w:val="00DC3EEC"/>
    <w:rsid w:val="00DC418C"/>
    <w:rsid w:val="00DD269D"/>
    <w:rsid w:val="00DD4698"/>
    <w:rsid w:val="00DD5E1F"/>
    <w:rsid w:val="00DD69F5"/>
    <w:rsid w:val="00DD7C82"/>
    <w:rsid w:val="00DE1518"/>
    <w:rsid w:val="00DE2088"/>
    <w:rsid w:val="00DE2386"/>
    <w:rsid w:val="00DE4084"/>
    <w:rsid w:val="00DE6A97"/>
    <w:rsid w:val="00DF184E"/>
    <w:rsid w:val="00DF268B"/>
    <w:rsid w:val="00DF3AFE"/>
    <w:rsid w:val="00DF3C48"/>
    <w:rsid w:val="00DF53BE"/>
    <w:rsid w:val="00DF6863"/>
    <w:rsid w:val="00E009B3"/>
    <w:rsid w:val="00E02F60"/>
    <w:rsid w:val="00E068E3"/>
    <w:rsid w:val="00E070F1"/>
    <w:rsid w:val="00E07BA5"/>
    <w:rsid w:val="00E10A8C"/>
    <w:rsid w:val="00E1701D"/>
    <w:rsid w:val="00E174D2"/>
    <w:rsid w:val="00E20E29"/>
    <w:rsid w:val="00E221D1"/>
    <w:rsid w:val="00E24ABC"/>
    <w:rsid w:val="00E24BDF"/>
    <w:rsid w:val="00E25A24"/>
    <w:rsid w:val="00E25EDC"/>
    <w:rsid w:val="00E26639"/>
    <w:rsid w:val="00E26B1D"/>
    <w:rsid w:val="00E270F6"/>
    <w:rsid w:val="00E2789D"/>
    <w:rsid w:val="00E37A5B"/>
    <w:rsid w:val="00E40304"/>
    <w:rsid w:val="00E40A1A"/>
    <w:rsid w:val="00E4135E"/>
    <w:rsid w:val="00E41BB9"/>
    <w:rsid w:val="00E4348E"/>
    <w:rsid w:val="00E50A06"/>
    <w:rsid w:val="00E50B68"/>
    <w:rsid w:val="00E510C9"/>
    <w:rsid w:val="00E52449"/>
    <w:rsid w:val="00E55638"/>
    <w:rsid w:val="00E55C4A"/>
    <w:rsid w:val="00E579F6"/>
    <w:rsid w:val="00E6212D"/>
    <w:rsid w:val="00E623F6"/>
    <w:rsid w:val="00E666BF"/>
    <w:rsid w:val="00E6754D"/>
    <w:rsid w:val="00E70072"/>
    <w:rsid w:val="00E70BE7"/>
    <w:rsid w:val="00E72845"/>
    <w:rsid w:val="00E74111"/>
    <w:rsid w:val="00E77509"/>
    <w:rsid w:val="00E812FF"/>
    <w:rsid w:val="00E81739"/>
    <w:rsid w:val="00E82BDD"/>
    <w:rsid w:val="00E844CC"/>
    <w:rsid w:val="00E85020"/>
    <w:rsid w:val="00E855A5"/>
    <w:rsid w:val="00E859C5"/>
    <w:rsid w:val="00E87064"/>
    <w:rsid w:val="00E91400"/>
    <w:rsid w:val="00E94870"/>
    <w:rsid w:val="00E9544C"/>
    <w:rsid w:val="00E97DB3"/>
    <w:rsid w:val="00EA1C2B"/>
    <w:rsid w:val="00EA2475"/>
    <w:rsid w:val="00EA3F0B"/>
    <w:rsid w:val="00EA4674"/>
    <w:rsid w:val="00EA4BC8"/>
    <w:rsid w:val="00EA632D"/>
    <w:rsid w:val="00EA7F51"/>
    <w:rsid w:val="00EB1FF2"/>
    <w:rsid w:val="00EB32BB"/>
    <w:rsid w:val="00EB362B"/>
    <w:rsid w:val="00EB5FE7"/>
    <w:rsid w:val="00EC3B74"/>
    <w:rsid w:val="00EC647D"/>
    <w:rsid w:val="00EC6C64"/>
    <w:rsid w:val="00ED0E84"/>
    <w:rsid w:val="00ED6C9B"/>
    <w:rsid w:val="00EE1190"/>
    <w:rsid w:val="00EE2334"/>
    <w:rsid w:val="00EE2569"/>
    <w:rsid w:val="00EE3B48"/>
    <w:rsid w:val="00EE4519"/>
    <w:rsid w:val="00EE5CD9"/>
    <w:rsid w:val="00EF0CE5"/>
    <w:rsid w:val="00EF49F2"/>
    <w:rsid w:val="00EF6CC8"/>
    <w:rsid w:val="00EF789C"/>
    <w:rsid w:val="00F007A0"/>
    <w:rsid w:val="00F02373"/>
    <w:rsid w:val="00F1043A"/>
    <w:rsid w:val="00F10E14"/>
    <w:rsid w:val="00F1132A"/>
    <w:rsid w:val="00F1175C"/>
    <w:rsid w:val="00F11F92"/>
    <w:rsid w:val="00F14070"/>
    <w:rsid w:val="00F14A61"/>
    <w:rsid w:val="00F14EC4"/>
    <w:rsid w:val="00F154F4"/>
    <w:rsid w:val="00F15BB7"/>
    <w:rsid w:val="00F16258"/>
    <w:rsid w:val="00F17AE5"/>
    <w:rsid w:val="00F17B9C"/>
    <w:rsid w:val="00F20A95"/>
    <w:rsid w:val="00F20FAB"/>
    <w:rsid w:val="00F212C1"/>
    <w:rsid w:val="00F22135"/>
    <w:rsid w:val="00F306DA"/>
    <w:rsid w:val="00F32D37"/>
    <w:rsid w:val="00F3370F"/>
    <w:rsid w:val="00F35FA1"/>
    <w:rsid w:val="00F42F29"/>
    <w:rsid w:val="00F4356A"/>
    <w:rsid w:val="00F450E7"/>
    <w:rsid w:val="00F46BE3"/>
    <w:rsid w:val="00F47F8E"/>
    <w:rsid w:val="00F504AF"/>
    <w:rsid w:val="00F50C02"/>
    <w:rsid w:val="00F511D1"/>
    <w:rsid w:val="00F51FCB"/>
    <w:rsid w:val="00F535CA"/>
    <w:rsid w:val="00F57A16"/>
    <w:rsid w:val="00F6051F"/>
    <w:rsid w:val="00F61549"/>
    <w:rsid w:val="00F62E4B"/>
    <w:rsid w:val="00F647E6"/>
    <w:rsid w:val="00F726D8"/>
    <w:rsid w:val="00F73345"/>
    <w:rsid w:val="00F73FD6"/>
    <w:rsid w:val="00F751E8"/>
    <w:rsid w:val="00F7701C"/>
    <w:rsid w:val="00F770DC"/>
    <w:rsid w:val="00F80207"/>
    <w:rsid w:val="00F80510"/>
    <w:rsid w:val="00F81314"/>
    <w:rsid w:val="00F847DE"/>
    <w:rsid w:val="00F85A04"/>
    <w:rsid w:val="00F91525"/>
    <w:rsid w:val="00F93B70"/>
    <w:rsid w:val="00F940B1"/>
    <w:rsid w:val="00F94961"/>
    <w:rsid w:val="00F94F85"/>
    <w:rsid w:val="00F962B5"/>
    <w:rsid w:val="00F97791"/>
    <w:rsid w:val="00FA22E9"/>
    <w:rsid w:val="00FA4B61"/>
    <w:rsid w:val="00FA4EBA"/>
    <w:rsid w:val="00FA5738"/>
    <w:rsid w:val="00FB2C74"/>
    <w:rsid w:val="00FB3016"/>
    <w:rsid w:val="00FB3A3F"/>
    <w:rsid w:val="00FB44B2"/>
    <w:rsid w:val="00FB5C1C"/>
    <w:rsid w:val="00FB71C1"/>
    <w:rsid w:val="00FC1065"/>
    <w:rsid w:val="00FC56F8"/>
    <w:rsid w:val="00FC7E97"/>
    <w:rsid w:val="00FD0418"/>
    <w:rsid w:val="00FD29A2"/>
    <w:rsid w:val="00FD2BFB"/>
    <w:rsid w:val="00FD32A2"/>
    <w:rsid w:val="00FD4400"/>
    <w:rsid w:val="00FD60CA"/>
    <w:rsid w:val="00FE004A"/>
    <w:rsid w:val="00FE1B05"/>
    <w:rsid w:val="00FE3169"/>
    <w:rsid w:val="00FE4A41"/>
    <w:rsid w:val="00FE4C2F"/>
    <w:rsid w:val="00FF252A"/>
    <w:rsid w:val="00FF48CF"/>
    <w:rsid w:val="00FF617A"/>
    <w:rsid w:val="00FF67BD"/>
    <w:rsid w:val="00FF7985"/>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8193"/>
    <o:shapelayout v:ext="edit">
      <o:idmap v:ext="edit" data="1"/>
    </o:shapelayout>
  </w:shapeDefaults>
  <w:decimalSymbol w:val="."/>
  <w:listSeparator w:val=","/>
  <w14:docId w14:val="2D72799B"/>
  <w15:docId w15:val="{6143EA39-8505-43A1-8483-174F8AC813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14EC4"/>
    <w:pPr>
      <w:spacing w:before="120" w:after="120" w:line="300" w:lineRule="atLeast"/>
    </w:pPr>
    <w:rPr>
      <w:rFonts w:ascii="Arial" w:eastAsia="Times New Roman" w:hAnsi="Arial"/>
      <w:szCs w:val="24"/>
    </w:rPr>
  </w:style>
  <w:style w:type="paragraph" w:styleId="Heading1">
    <w:name w:val="heading 1"/>
    <w:basedOn w:val="Normal"/>
    <w:next w:val="Normal"/>
    <w:link w:val="Heading1Char"/>
    <w:qFormat/>
    <w:rsid w:val="00D06875"/>
    <w:pPr>
      <w:keepNext/>
      <w:pBdr>
        <w:top w:val="single" w:sz="48" w:space="1" w:color="00B274"/>
        <w:left w:val="single" w:sz="48" w:space="4" w:color="00B274"/>
        <w:bottom w:val="single" w:sz="48" w:space="1" w:color="00B274"/>
        <w:right w:val="single" w:sz="48" w:space="4" w:color="00B274"/>
      </w:pBdr>
      <w:shd w:val="clear" w:color="auto" w:fill="00B274"/>
      <w:spacing w:before="360" w:line="336" w:lineRule="atLeast"/>
      <w:ind w:right="57"/>
      <w:outlineLvl w:val="0"/>
    </w:pPr>
    <w:rPr>
      <w:rFonts w:cs="Arial"/>
      <w:b/>
      <w:bCs/>
      <w:iCs/>
      <w:color w:val="FFFFFF"/>
      <w:kern w:val="32"/>
      <w:sz w:val="28"/>
      <w:szCs w:val="32"/>
    </w:rPr>
  </w:style>
  <w:style w:type="paragraph" w:styleId="Heading2">
    <w:name w:val="heading 2"/>
    <w:aliases w:val="level 2,level2"/>
    <w:basedOn w:val="Normal"/>
    <w:next w:val="Normal"/>
    <w:link w:val="Heading2Char"/>
    <w:qFormat/>
    <w:rsid w:val="00731B99"/>
    <w:pPr>
      <w:keepNext/>
      <w:spacing w:line="840" w:lineRule="atLeast"/>
      <w:outlineLvl w:val="1"/>
    </w:pPr>
    <w:rPr>
      <w:rFonts w:cs="Arial"/>
      <w:bCs/>
      <w:iCs/>
      <w:color w:val="008576"/>
      <w:sz w:val="80"/>
      <w:szCs w:val="28"/>
    </w:rPr>
  </w:style>
  <w:style w:type="paragraph" w:styleId="Heading3">
    <w:name w:val="heading 3"/>
    <w:basedOn w:val="Normal"/>
    <w:next w:val="Normal"/>
    <w:link w:val="Heading3Char"/>
    <w:qFormat/>
    <w:rsid w:val="00313E9E"/>
    <w:pPr>
      <w:keepNext/>
      <w:keepLines/>
      <w:spacing w:before="200"/>
      <w:outlineLvl w:val="2"/>
    </w:pPr>
    <w:rPr>
      <w:rFonts w:ascii="Calibri" w:eastAsia="MS Gothic" w:hAnsi="Calibri"/>
      <w:b/>
      <w:bCs/>
      <w:color w:val="4F81BD"/>
    </w:rPr>
  </w:style>
  <w:style w:type="paragraph" w:styleId="Heading4">
    <w:name w:val="heading 4"/>
    <w:basedOn w:val="Normal"/>
    <w:next w:val="Normal"/>
    <w:link w:val="Heading4Char"/>
    <w:qFormat/>
    <w:rsid w:val="00313E9E"/>
    <w:pPr>
      <w:keepNext/>
      <w:keepLines/>
      <w:spacing w:before="200"/>
      <w:outlineLvl w:val="3"/>
    </w:pPr>
    <w:rPr>
      <w:rFonts w:ascii="Calibri" w:eastAsia="MS Gothic" w:hAnsi="Calibri"/>
      <w:b/>
      <w:bCs/>
      <w:i/>
      <w:iCs/>
      <w:color w:val="4F81BD"/>
    </w:rPr>
  </w:style>
  <w:style w:type="paragraph" w:styleId="Heading5">
    <w:name w:val="heading 5"/>
    <w:basedOn w:val="Normal"/>
    <w:next w:val="Normal"/>
    <w:link w:val="Heading5Char"/>
    <w:qFormat/>
    <w:rsid w:val="00313E9E"/>
    <w:pPr>
      <w:keepNext/>
      <w:keepLines/>
      <w:spacing w:before="200"/>
      <w:outlineLvl w:val="4"/>
    </w:pPr>
    <w:rPr>
      <w:rFonts w:ascii="Calibri" w:eastAsia="MS Gothic" w:hAnsi="Calibri"/>
      <w:color w:val="244061"/>
    </w:rPr>
  </w:style>
  <w:style w:type="paragraph" w:styleId="Heading6">
    <w:name w:val="heading 6"/>
    <w:basedOn w:val="Normal"/>
    <w:next w:val="Normal"/>
    <w:link w:val="Heading6Char"/>
    <w:qFormat/>
    <w:rsid w:val="00313E9E"/>
    <w:pPr>
      <w:keepNext/>
      <w:keepLines/>
      <w:spacing w:before="200"/>
      <w:outlineLvl w:val="5"/>
    </w:pPr>
    <w:rPr>
      <w:rFonts w:ascii="Calibri" w:eastAsia="MS Gothic" w:hAnsi="Calibri"/>
      <w:i/>
      <w:iCs/>
      <w:color w:val="244061"/>
    </w:rPr>
  </w:style>
  <w:style w:type="paragraph" w:styleId="Heading7">
    <w:name w:val="heading 7"/>
    <w:basedOn w:val="Normal"/>
    <w:next w:val="Normal"/>
    <w:link w:val="Heading7Char"/>
    <w:qFormat/>
    <w:rsid w:val="00313E9E"/>
    <w:pPr>
      <w:keepNext/>
      <w:keepLines/>
      <w:spacing w:before="200"/>
      <w:outlineLvl w:val="6"/>
    </w:pPr>
    <w:rPr>
      <w:rFonts w:ascii="Calibri" w:eastAsia="MS Gothic" w:hAnsi="Calibri"/>
      <w:i/>
      <w:iCs/>
      <w:color w:val="404040"/>
    </w:rPr>
  </w:style>
  <w:style w:type="paragraph" w:styleId="Heading8">
    <w:name w:val="heading 8"/>
    <w:basedOn w:val="Normal"/>
    <w:next w:val="Normal"/>
    <w:link w:val="Heading8Char"/>
    <w:qFormat/>
    <w:rsid w:val="00313E9E"/>
    <w:pPr>
      <w:keepNext/>
      <w:keepLines/>
      <w:spacing w:before="200"/>
      <w:outlineLvl w:val="7"/>
    </w:pPr>
    <w:rPr>
      <w:rFonts w:ascii="Calibri" w:eastAsia="MS Gothic" w:hAnsi="Calibri"/>
      <w:color w:val="363636"/>
      <w:szCs w:val="20"/>
    </w:rPr>
  </w:style>
  <w:style w:type="paragraph" w:styleId="Heading9">
    <w:name w:val="heading 9"/>
    <w:basedOn w:val="Normal"/>
    <w:next w:val="Normal"/>
    <w:link w:val="Heading9Char"/>
    <w:qFormat/>
    <w:rsid w:val="00313E9E"/>
    <w:pPr>
      <w:keepNext/>
      <w:keepLines/>
      <w:spacing w:before="200"/>
      <w:outlineLvl w:val="8"/>
    </w:pPr>
    <w:rPr>
      <w:rFonts w:ascii="Calibri" w:eastAsia="MS Gothic" w:hAnsi="Calibri"/>
      <w:i/>
      <w:iCs/>
      <w:color w:val="36363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01">
    <w:name w:val="Heading 01"/>
    <w:basedOn w:val="Heading1"/>
    <w:next w:val="Normal"/>
    <w:qFormat/>
    <w:rsid w:val="00CD719F"/>
    <w:pPr>
      <w:spacing w:line="240" w:lineRule="auto"/>
    </w:pPr>
  </w:style>
  <w:style w:type="paragraph" w:customStyle="1" w:styleId="Level-4a">
    <w:name w:val="Level-4a"/>
    <w:basedOn w:val="Normal"/>
    <w:autoRedefine/>
    <w:rsid w:val="00421B40"/>
    <w:pPr>
      <w:widowControl w:val="0"/>
      <w:autoSpaceDE w:val="0"/>
      <w:autoSpaceDN w:val="0"/>
      <w:adjustRightInd w:val="0"/>
      <w:spacing w:line="240" w:lineRule="auto"/>
      <w:ind w:left="1440" w:hanging="540"/>
    </w:pPr>
    <w:rPr>
      <w:rFonts w:ascii="Times New Roman" w:hAnsi="Times New Roman"/>
      <w:noProof/>
      <w:sz w:val="22"/>
      <w:szCs w:val="20"/>
      <w:u w:val="single"/>
      <w:lang w:eastAsia="en-US"/>
    </w:rPr>
  </w:style>
  <w:style w:type="paragraph" w:styleId="Footer">
    <w:name w:val="footer"/>
    <w:basedOn w:val="Normal"/>
    <w:link w:val="FooterChar"/>
    <w:unhideWhenUsed/>
    <w:rsid w:val="00731B99"/>
    <w:pPr>
      <w:tabs>
        <w:tab w:val="center" w:pos="4320"/>
        <w:tab w:val="right" w:pos="8640"/>
      </w:tabs>
    </w:pPr>
  </w:style>
  <w:style w:type="character" w:customStyle="1" w:styleId="FooterChar">
    <w:name w:val="Footer Char"/>
    <w:basedOn w:val="DefaultParagraphFont"/>
    <w:link w:val="Footer"/>
    <w:rsid w:val="00731B99"/>
  </w:style>
  <w:style w:type="paragraph" w:styleId="BlockText">
    <w:name w:val="Block Text"/>
    <w:basedOn w:val="Footer"/>
    <w:link w:val="BlockTextChar"/>
    <w:rsid w:val="00731B99"/>
    <w:pPr>
      <w:tabs>
        <w:tab w:val="clear" w:pos="4320"/>
        <w:tab w:val="clear" w:pos="8640"/>
        <w:tab w:val="center" w:pos="4153"/>
        <w:tab w:val="right" w:pos="8306"/>
      </w:tabs>
      <w:spacing w:line="220" w:lineRule="atLeast"/>
    </w:pPr>
    <w:rPr>
      <w:color w:val="FFFFFF"/>
      <w:sz w:val="18"/>
    </w:rPr>
  </w:style>
  <w:style w:type="character" w:customStyle="1" w:styleId="BlockTextChar">
    <w:name w:val="Block Text Char"/>
    <w:link w:val="BlockText"/>
    <w:rsid w:val="00731B99"/>
    <w:rPr>
      <w:rFonts w:ascii="Tahoma" w:eastAsia="Times New Roman" w:hAnsi="Tahoma" w:cs="Times New Roman"/>
      <w:color w:val="FFFFFF"/>
      <w:sz w:val="18"/>
      <w:lang w:val="en-GB" w:eastAsia="en-GB"/>
    </w:rPr>
  </w:style>
  <w:style w:type="character" w:customStyle="1" w:styleId="Heading1Char">
    <w:name w:val="Heading 1 Char"/>
    <w:link w:val="Heading1"/>
    <w:rsid w:val="00D06875"/>
    <w:rPr>
      <w:rFonts w:ascii="Arial" w:eastAsia="Times New Roman" w:hAnsi="Arial" w:cs="Arial"/>
      <w:b/>
      <w:bCs/>
      <w:iCs/>
      <w:color w:val="FFFFFF"/>
      <w:kern w:val="32"/>
      <w:sz w:val="28"/>
      <w:szCs w:val="32"/>
      <w:shd w:val="clear" w:color="auto" w:fill="00B274"/>
    </w:rPr>
  </w:style>
  <w:style w:type="character" w:customStyle="1" w:styleId="Heading2Char">
    <w:name w:val="Heading 2 Char"/>
    <w:aliases w:val="level 2 Char,level2 Char"/>
    <w:link w:val="Heading2"/>
    <w:rsid w:val="00731B99"/>
    <w:rPr>
      <w:rFonts w:ascii="Arial" w:eastAsia="Times New Roman" w:hAnsi="Arial" w:cs="Arial"/>
      <w:bCs/>
      <w:iCs/>
      <w:color w:val="008576"/>
      <w:sz w:val="80"/>
      <w:szCs w:val="28"/>
    </w:rPr>
  </w:style>
  <w:style w:type="paragraph" w:styleId="BodyText2">
    <w:name w:val="Body Text 2"/>
    <w:basedOn w:val="Normal"/>
    <w:link w:val="BodyText2Char"/>
    <w:rsid w:val="00731B99"/>
    <w:pPr>
      <w:spacing w:line="360" w:lineRule="atLeast"/>
    </w:pPr>
    <w:rPr>
      <w:sz w:val="28"/>
    </w:rPr>
  </w:style>
  <w:style w:type="character" w:customStyle="1" w:styleId="BodyText2Char">
    <w:name w:val="Body Text 2 Char"/>
    <w:link w:val="BodyText2"/>
    <w:rsid w:val="00731B99"/>
    <w:rPr>
      <w:rFonts w:ascii="Tahoma" w:eastAsia="Times New Roman" w:hAnsi="Tahoma" w:cs="Times New Roman"/>
      <w:sz w:val="28"/>
      <w:lang w:val="en-GB" w:eastAsia="en-GB"/>
    </w:rPr>
  </w:style>
  <w:style w:type="paragraph" w:styleId="BodyText3">
    <w:name w:val="Body Text 3"/>
    <w:basedOn w:val="Normal"/>
    <w:link w:val="BodyText3Char"/>
    <w:rsid w:val="00731B99"/>
    <w:pPr>
      <w:spacing w:line="280" w:lineRule="atLeast"/>
    </w:pPr>
    <w:rPr>
      <w:sz w:val="24"/>
      <w:szCs w:val="16"/>
    </w:rPr>
  </w:style>
  <w:style w:type="character" w:customStyle="1" w:styleId="BodyText3Char">
    <w:name w:val="Body Text 3 Char"/>
    <w:link w:val="BodyText3"/>
    <w:rsid w:val="00731B99"/>
    <w:rPr>
      <w:rFonts w:ascii="Tahoma" w:eastAsia="Times New Roman" w:hAnsi="Tahoma" w:cs="Times New Roman"/>
      <w:szCs w:val="16"/>
      <w:lang w:val="en-GB" w:eastAsia="en-GB"/>
    </w:rPr>
  </w:style>
  <w:style w:type="character" w:customStyle="1" w:styleId="Heading4Char">
    <w:name w:val="Heading 4 Char"/>
    <w:link w:val="Heading4"/>
    <w:rsid w:val="00313E9E"/>
    <w:rPr>
      <w:rFonts w:ascii="Calibri" w:eastAsia="MS Gothic" w:hAnsi="Calibri"/>
      <w:b/>
      <w:bCs/>
      <w:i/>
      <w:iCs/>
      <w:color w:val="4F81BD"/>
      <w:szCs w:val="24"/>
    </w:rPr>
  </w:style>
  <w:style w:type="character" w:customStyle="1" w:styleId="Heading8Char">
    <w:name w:val="Heading 8 Char"/>
    <w:link w:val="Heading8"/>
    <w:rsid w:val="00313E9E"/>
    <w:rPr>
      <w:rFonts w:ascii="Calibri" w:eastAsia="MS Gothic" w:hAnsi="Calibri"/>
      <w:color w:val="363636"/>
    </w:rPr>
  </w:style>
  <w:style w:type="paragraph" w:styleId="ListNumber">
    <w:name w:val="List Number"/>
    <w:basedOn w:val="Normal"/>
    <w:link w:val="ListNumberChar"/>
    <w:rsid w:val="00313E9E"/>
    <w:pPr>
      <w:numPr>
        <w:numId w:val="3"/>
      </w:numPr>
    </w:pPr>
  </w:style>
  <w:style w:type="paragraph" w:styleId="BodyText">
    <w:name w:val="Body Text"/>
    <w:basedOn w:val="Normal"/>
    <w:link w:val="BodyTextChar"/>
    <w:rsid w:val="00313E9E"/>
  </w:style>
  <w:style w:type="character" w:customStyle="1" w:styleId="BodyTextChar">
    <w:name w:val="Body Text Char"/>
    <w:link w:val="BodyText"/>
    <w:rsid w:val="00313E9E"/>
    <w:rPr>
      <w:rFonts w:ascii="Tahoma" w:eastAsia="Times New Roman" w:hAnsi="Tahoma" w:cs="Times New Roman"/>
      <w:sz w:val="20"/>
      <w:lang w:val="en-GB" w:eastAsia="en-GB"/>
    </w:rPr>
  </w:style>
  <w:style w:type="paragraph" w:styleId="ListBullet2">
    <w:name w:val="List Bullet 2"/>
    <w:basedOn w:val="Normal"/>
    <w:link w:val="ListBullet2Char"/>
    <w:rsid w:val="00313E9E"/>
    <w:pPr>
      <w:numPr>
        <w:numId w:val="1"/>
      </w:numPr>
    </w:pPr>
  </w:style>
  <w:style w:type="paragraph" w:customStyle="1" w:styleId="TableHeading">
    <w:name w:val="Table Heading"/>
    <w:basedOn w:val="Normal"/>
    <w:rsid w:val="00313E9E"/>
    <w:pPr>
      <w:spacing w:line="240" w:lineRule="auto"/>
      <w:ind w:left="113"/>
    </w:pPr>
    <w:rPr>
      <w:color w:val="008576"/>
    </w:rPr>
  </w:style>
  <w:style w:type="paragraph" w:customStyle="1" w:styleId="Tablesubheading">
    <w:name w:val="Table subheading"/>
    <w:basedOn w:val="Normal"/>
    <w:rsid w:val="00313E9E"/>
    <w:pPr>
      <w:spacing w:before="40" w:line="240" w:lineRule="auto"/>
      <w:ind w:left="113"/>
    </w:pPr>
  </w:style>
  <w:style w:type="paragraph" w:customStyle="1" w:styleId="Tablebodycopy">
    <w:name w:val="Table body copy"/>
    <w:basedOn w:val="Normal"/>
    <w:rsid w:val="00313E9E"/>
    <w:pPr>
      <w:spacing w:before="40"/>
      <w:ind w:left="113"/>
    </w:pPr>
    <w:rPr>
      <w:color w:val="008576"/>
    </w:rPr>
  </w:style>
  <w:style w:type="character" w:customStyle="1" w:styleId="ListNumberChar">
    <w:name w:val="List Number Char"/>
    <w:link w:val="ListNumber"/>
    <w:rsid w:val="00313E9E"/>
    <w:rPr>
      <w:rFonts w:ascii="Arial" w:eastAsia="Times New Roman" w:hAnsi="Arial"/>
      <w:szCs w:val="24"/>
    </w:rPr>
  </w:style>
  <w:style w:type="character" w:customStyle="1" w:styleId="ListBullet2Char">
    <w:name w:val="List Bullet 2 Char"/>
    <w:link w:val="ListBullet2"/>
    <w:rsid w:val="00313E9E"/>
    <w:rPr>
      <w:rFonts w:ascii="Arial" w:eastAsia="Times New Roman" w:hAnsi="Arial"/>
      <w:szCs w:val="24"/>
    </w:rPr>
  </w:style>
  <w:style w:type="paragraph" w:customStyle="1" w:styleId="TableList">
    <w:name w:val="Table List"/>
    <w:basedOn w:val="ListBullet2"/>
    <w:rsid w:val="00313E9E"/>
    <w:pPr>
      <w:numPr>
        <w:ilvl w:val="1"/>
      </w:numPr>
      <w:tabs>
        <w:tab w:val="clear" w:pos="454"/>
        <w:tab w:val="num" w:pos="360"/>
      </w:tabs>
    </w:pPr>
    <w:rPr>
      <w:color w:val="008576"/>
    </w:rPr>
  </w:style>
  <w:style w:type="character" w:customStyle="1" w:styleId="Heading3Char">
    <w:name w:val="Heading 3 Char"/>
    <w:link w:val="Heading3"/>
    <w:rsid w:val="00313E9E"/>
    <w:rPr>
      <w:rFonts w:ascii="Calibri" w:eastAsia="MS Gothic" w:hAnsi="Calibri"/>
      <w:b/>
      <w:bCs/>
      <w:color w:val="4F81BD"/>
      <w:szCs w:val="24"/>
    </w:rPr>
  </w:style>
  <w:style w:type="character" w:customStyle="1" w:styleId="Heading5Char">
    <w:name w:val="Heading 5 Char"/>
    <w:link w:val="Heading5"/>
    <w:rsid w:val="00313E9E"/>
    <w:rPr>
      <w:rFonts w:ascii="Calibri" w:eastAsia="MS Gothic" w:hAnsi="Calibri"/>
      <w:color w:val="244061"/>
      <w:szCs w:val="24"/>
    </w:rPr>
  </w:style>
  <w:style w:type="character" w:customStyle="1" w:styleId="Heading6Char">
    <w:name w:val="Heading 6 Char"/>
    <w:link w:val="Heading6"/>
    <w:rsid w:val="00313E9E"/>
    <w:rPr>
      <w:rFonts w:ascii="Calibri" w:eastAsia="MS Gothic" w:hAnsi="Calibri"/>
      <w:i/>
      <w:iCs/>
      <w:color w:val="244061"/>
      <w:szCs w:val="24"/>
    </w:rPr>
  </w:style>
  <w:style w:type="character" w:customStyle="1" w:styleId="Heading7Char">
    <w:name w:val="Heading 7 Char"/>
    <w:link w:val="Heading7"/>
    <w:rsid w:val="00313E9E"/>
    <w:rPr>
      <w:rFonts w:ascii="Calibri" w:eastAsia="MS Gothic" w:hAnsi="Calibri"/>
      <w:i/>
      <w:iCs/>
      <w:color w:val="404040"/>
      <w:szCs w:val="24"/>
    </w:rPr>
  </w:style>
  <w:style w:type="character" w:customStyle="1" w:styleId="Heading9Char">
    <w:name w:val="Heading 9 Char"/>
    <w:link w:val="Heading9"/>
    <w:rsid w:val="00313E9E"/>
    <w:rPr>
      <w:rFonts w:ascii="Calibri" w:eastAsia="MS Gothic" w:hAnsi="Calibri"/>
      <w:i/>
      <w:iCs/>
      <w:color w:val="363636"/>
    </w:rPr>
  </w:style>
  <w:style w:type="numbering" w:styleId="ArticleSection">
    <w:name w:val="Outline List 3"/>
    <w:basedOn w:val="NoList"/>
    <w:semiHidden/>
    <w:rsid w:val="00313E9E"/>
    <w:pPr>
      <w:numPr>
        <w:numId w:val="2"/>
      </w:numPr>
    </w:pPr>
  </w:style>
  <w:style w:type="paragraph" w:customStyle="1" w:styleId="TOCMOD">
    <w:name w:val="TOC MOD"/>
    <w:basedOn w:val="TOCDMR"/>
    <w:qFormat/>
    <w:rsid w:val="00205E60"/>
    <w:pPr>
      <w:framePr w:hSpace="181" w:vSpace="181" w:wrap="around" w:vAnchor="text" w:hAnchor="text" w:y="1"/>
    </w:pPr>
    <w:rPr>
      <w:color w:val="008576"/>
    </w:rPr>
  </w:style>
  <w:style w:type="paragraph" w:styleId="TOC2">
    <w:name w:val="toc 2"/>
    <w:basedOn w:val="Heading9"/>
    <w:next w:val="Normal"/>
    <w:link w:val="TOC2Char"/>
    <w:autoRedefine/>
    <w:uiPriority w:val="39"/>
    <w:rsid w:val="0055068A"/>
    <w:pPr>
      <w:keepNext w:val="0"/>
      <w:keepLines w:val="0"/>
      <w:spacing w:before="0"/>
      <w:ind w:left="200"/>
      <w:outlineLvl w:val="9"/>
    </w:pPr>
    <w:rPr>
      <w:rFonts w:ascii="Cambria" w:eastAsia="Times New Roman" w:hAnsi="Cambria"/>
      <w:b/>
      <w:i w:val="0"/>
      <w:iCs w:val="0"/>
      <w:color w:val="auto"/>
      <w:sz w:val="22"/>
      <w:szCs w:val="22"/>
    </w:rPr>
  </w:style>
  <w:style w:type="paragraph" w:customStyle="1" w:styleId="Contents01">
    <w:name w:val="Contents 01"/>
    <w:basedOn w:val="Heading8"/>
    <w:rsid w:val="00D06875"/>
    <w:pPr>
      <w:keepLines w:val="0"/>
      <w:pBdr>
        <w:top w:val="single" w:sz="48" w:space="1" w:color="00B274"/>
        <w:left w:val="single" w:sz="48" w:space="4" w:color="00B274"/>
        <w:bottom w:val="single" w:sz="48" w:space="1" w:color="00B274"/>
        <w:right w:val="single" w:sz="48" w:space="4" w:color="00B274"/>
      </w:pBdr>
      <w:shd w:val="clear" w:color="auto" w:fill="00B274"/>
      <w:spacing w:before="0" w:line="240" w:lineRule="auto"/>
      <w:ind w:right="238"/>
    </w:pPr>
    <w:rPr>
      <w:rFonts w:ascii="Arial" w:eastAsia="Times New Roman" w:hAnsi="Arial" w:cs="Arial"/>
      <w:bCs/>
      <w:color w:val="FFFFFF"/>
      <w:kern w:val="32"/>
      <w:sz w:val="28"/>
      <w:szCs w:val="32"/>
    </w:rPr>
  </w:style>
  <w:style w:type="paragraph" w:customStyle="1" w:styleId="About01">
    <w:name w:val="About 01"/>
    <w:basedOn w:val="Contents01"/>
    <w:rsid w:val="0086142A"/>
    <w:pPr>
      <w:pBdr>
        <w:top w:val="none" w:sz="0" w:space="0" w:color="auto"/>
        <w:left w:val="none" w:sz="0" w:space="0" w:color="auto"/>
        <w:bottom w:val="none" w:sz="0" w:space="0" w:color="auto"/>
        <w:right w:val="none" w:sz="0" w:space="0" w:color="auto"/>
      </w:pBdr>
      <w:tabs>
        <w:tab w:val="right" w:pos="7811"/>
      </w:tabs>
      <w:ind w:right="0"/>
    </w:pPr>
    <w:rPr>
      <w:bCs w:val="0"/>
      <w:szCs w:val="28"/>
    </w:rPr>
  </w:style>
  <w:style w:type="character" w:customStyle="1" w:styleId="TOC2Char">
    <w:name w:val="TOC 2 Char"/>
    <w:link w:val="TOC2"/>
    <w:uiPriority w:val="39"/>
    <w:rsid w:val="0055068A"/>
    <w:rPr>
      <w:rFonts w:eastAsia="Times New Roman"/>
      <w:b/>
      <w:sz w:val="22"/>
      <w:szCs w:val="22"/>
      <w:lang w:eastAsia="en-GB"/>
    </w:rPr>
  </w:style>
  <w:style w:type="paragraph" w:styleId="TOC1">
    <w:name w:val="toc 1"/>
    <w:basedOn w:val="TOCMOD"/>
    <w:next w:val="TOCMOD"/>
    <w:autoRedefine/>
    <w:uiPriority w:val="39"/>
    <w:qFormat/>
    <w:rsid w:val="00D06875"/>
    <w:pPr>
      <w:framePr w:wrap="around"/>
    </w:pPr>
  </w:style>
  <w:style w:type="table" w:styleId="TableGrid">
    <w:name w:val="Table Grid"/>
    <w:basedOn w:val="TableNormal"/>
    <w:rsid w:val="005B378E"/>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4">
    <w:name w:val="Body Text 4"/>
    <w:basedOn w:val="BodyText3"/>
    <w:rsid w:val="005B378E"/>
  </w:style>
  <w:style w:type="numbering" w:styleId="111111">
    <w:name w:val="Outline List 2"/>
    <w:basedOn w:val="NoList"/>
    <w:rsid w:val="005B378E"/>
    <w:pPr>
      <w:numPr>
        <w:numId w:val="4"/>
      </w:numPr>
    </w:pPr>
  </w:style>
  <w:style w:type="numbering" w:styleId="1ai">
    <w:name w:val="Outline List 1"/>
    <w:basedOn w:val="NoList"/>
    <w:rsid w:val="005B378E"/>
    <w:pPr>
      <w:numPr>
        <w:numId w:val="5"/>
      </w:numPr>
    </w:pPr>
  </w:style>
  <w:style w:type="paragraph" w:styleId="BodyTextFirstIndent">
    <w:name w:val="Body Text First Indent"/>
    <w:basedOn w:val="BodyText"/>
    <w:link w:val="BodyTextFirstIndentChar"/>
    <w:rsid w:val="007E718E"/>
    <w:pPr>
      <w:spacing w:after="0"/>
      <w:ind w:firstLine="210"/>
    </w:pPr>
  </w:style>
  <w:style w:type="character" w:customStyle="1" w:styleId="BodyTextFirstIndentChar">
    <w:name w:val="Body Text First Indent Char"/>
    <w:link w:val="BodyTextFirstIndent"/>
    <w:rsid w:val="007E718E"/>
    <w:rPr>
      <w:rFonts w:ascii="Arial" w:eastAsia="Times New Roman" w:hAnsi="Arial"/>
      <w:szCs w:val="24"/>
      <w:lang w:eastAsia="en-GB"/>
    </w:rPr>
  </w:style>
  <w:style w:type="paragraph" w:styleId="BodyTextIndent">
    <w:name w:val="Body Text Indent"/>
    <w:basedOn w:val="Normal"/>
    <w:link w:val="BodyTextIndentChar"/>
    <w:rsid w:val="005B378E"/>
    <w:pPr>
      <w:ind w:left="283"/>
    </w:pPr>
  </w:style>
  <w:style w:type="character" w:customStyle="1" w:styleId="BodyTextIndentChar">
    <w:name w:val="Body Text Indent Char"/>
    <w:link w:val="BodyTextIndent"/>
    <w:rsid w:val="005B378E"/>
    <w:rPr>
      <w:rFonts w:ascii="Tahoma" w:eastAsia="Times New Roman" w:hAnsi="Tahoma" w:cs="Times New Roman"/>
      <w:sz w:val="20"/>
      <w:lang w:val="en-GB" w:eastAsia="en-GB"/>
    </w:rPr>
  </w:style>
  <w:style w:type="paragraph" w:styleId="BodyTextFirstIndent2">
    <w:name w:val="Body Text First Indent 2"/>
    <w:basedOn w:val="BodyTextIndent"/>
    <w:link w:val="BodyTextFirstIndent2Char"/>
    <w:rsid w:val="005B378E"/>
    <w:pPr>
      <w:ind w:firstLine="210"/>
    </w:pPr>
  </w:style>
  <w:style w:type="character" w:customStyle="1" w:styleId="BodyTextFirstIndent2Char">
    <w:name w:val="Body Text First Indent 2 Char"/>
    <w:link w:val="BodyTextFirstIndent2"/>
    <w:rsid w:val="005B378E"/>
    <w:rPr>
      <w:rFonts w:ascii="Tahoma" w:eastAsia="Times New Roman" w:hAnsi="Tahoma" w:cs="Times New Roman"/>
      <w:sz w:val="20"/>
      <w:lang w:val="en-GB" w:eastAsia="en-GB"/>
    </w:rPr>
  </w:style>
  <w:style w:type="paragraph" w:styleId="BodyTextIndent2">
    <w:name w:val="Body Text Indent 2"/>
    <w:basedOn w:val="Normal"/>
    <w:link w:val="BodyTextIndent2Char"/>
    <w:rsid w:val="005B378E"/>
    <w:pPr>
      <w:spacing w:line="480" w:lineRule="auto"/>
      <w:ind w:left="283"/>
    </w:pPr>
  </w:style>
  <w:style w:type="character" w:customStyle="1" w:styleId="BodyTextIndent2Char">
    <w:name w:val="Body Text Indent 2 Char"/>
    <w:link w:val="BodyTextIndent2"/>
    <w:rsid w:val="005B378E"/>
    <w:rPr>
      <w:rFonts w:ascii="Tahoma" w:eastAsia="Times New Roman" w:hAnsi="Tahoma" w:cs="Times New Roman"/>
      <w:sz w:val="20"/>
      <w:lang w:val="en-GB" w:eastAsia="en-GB"/>
    </w:rPr>
  </w:style>
  <w:style w:type="paragraph" w:styleId="BodyTextIndent3">
    <w:name w:val="Body Text Indent 3"/>
    <w:basedOn w:val="Normal"/>
    <w:link w:val="BodyTextIndent3Char"/>
    <w:rsid w:val="005B378E"/>
    <w:pPr>
      <w:ind w:left="283"/>
    </w:pPr>
    <w:rPr>
      <w:sz w:val="16"/>
      <w:szCs w:val="16"/>
    </w:rPr>
  </w:style>
  <w:style w:type="character" w:customStyle="1" w:styleId="BodyTextIndent3Char">
    <w:name w:val="Body Text Indent 3 Char"/>
    <w:link w:val="BodyTextIndent3"/>
    <w:rsid w:val="005B378E"/>
    <w:rPr>
      <w:rFonts w:ascii="Tahoma" w:eastAsia="Times New Roman" w:hAnsi="Tahoma" w:cs="Times New Roman"/>
      <w:sz w:val="16"/>
      <w:szCs w:val="16"/>
      <w:lang w:val="en-GB" w:eastAsia="en-GB"/>
    </w:rPr>
  </w:style>
  <w:style w:type="paragraph" w:styleId="Closing">
    <w:name w:val="Closing"/>
    <w:basedOn w:val="Normal"/>
    <w:link w:val="ClosingChar"/>
    <w:rsid w:val="005B378E"/>
    <w:pPr>
      <w:ind w:left="4252"/>
    </w:pPr>
  </w:style>
  <w:style w:type="character" w:customStyle="1" w:styleId="ClosingChar">
    <w:name w:val="Closing Char"/>
    <w:link w:val="Closing"/>
    <w:rsid w:val="005B378E"/>
    <w:rPr>
      <w:rFonts w:ascii="Tahoma" w:eastAsia="Times New Roman" w:hAnsi="Tahoma" w:cs="Times New Roman"/>
      <w:sz w:val="20"/>
      <w:lang w:val="en-GB" w:eastAsia="en-GB"/>
    </w:rPr>
  </w:style>
  <w:style w:type="paragraph" w:styleId="Date">
    <w:name w:val="Date"/>
    <w:basedOn w:val="Normal"/>
    <w:next w:val="Normal"/>
    <w:link w:val="DateChar"/>
    <w:rsid w:val="005B378E"/>
  </w:style>
  <w:style w:type="character" w:customStyle="1" w:styleId="DateChar">
    <w:name w:val="Date Char"/>
    <w:link w:val="Date"/>
    <w:rsid w:val="005B378E"/>
    <w:rPr>
      <w:rFonts w:ascii="Tahoma" w:eastAsia="Times New Roman" w:hAnsi="Tahoma" w:cs="Times New Roman"/>
      <w:sz w:val="20"/>
      <w:lang w:val="en-GB" w:eastAsia="en-GB"/>
    </w:rPr>
  </w:style>
  <w:style w:type="paragraph" w:styleId="E-mailSignature">
    <w:name w:val="E-mail Signature"/>
    <w:basedOn w:val="Normal"/>
    <w:link w:val="E-mailSignatureChar"/>
    <w:rsid w:val="005B378E"/>
  </w:style>
  <w:style w:type="character" w:customStyle="1" w:styleId="E-mailSignatureChar">
    <w:name w:val="E-mail Signature Char"/>
    <w:link w:val="E-mailSignature"/>
    <w:rsid w:val="005B378E"/>
    <w:rPr>
      <w:rFonts w:ascii="Tahoma" w:eastAsia="Times New Roman" w:hAnsi="Tahoma" w:cs="Times New Roman"/>
      <w:sz w:val="20"/>
      <w:lang w:val="en-GB" w:eastAsia="en-GB"/>
    </w:rPr>
  </w:style>
  <w:style w:type="character" w:styleId="Emphasis">
    <w:name w:val="Emphasis"/>
    <w:qFormat/>
    <w:rsid w:val="005B378E"/>
    <w:rPr>
      <w:i/>
      <w:iCs/>
    </w:rPr>
  </w:style>
  <w:style w:type="paragraph" w:styleId="EnvelopeAddress">
    <w:name w:val="envelope address"/>
    <w:basedOn w:val="Normal"/>
    <w:rsid w:val="005B378E"/>
    <w:pPr>
      <w:framePr w:w="7920" w:h="1980" w:hRule="exact" w:hSpace="180" w:wrap="auto" w:hAnchor="page" w:xAlign="center" w:yAlign="bottom"/>
      <w:ind w:left="2880"/>
    </w:pPr>
    <w:rPr>
      <w:rFonts w:cs="Arial"/>
      <w:sz w:val="24"/>
    </w:rPr>
  </w:style>
  <w:style w:type="paragraph" w:styleId="EnvelopeReturn">
    <w:name w:val="envelope return"/>
    <w:basedOn w:val="Normal"/>
    <w:rsid w:val="005B378E"/>
    <w:rPr>
      <w:rFonts w:cs="Arial"/>
      <w:szCs w:val="20"/>
    </w:rPr>
  </w:style>
  <w:style w:type="character" w:styleId="HTMLAcronym">
    <w:name w:val="HTML Acronym"/>
    <w:basedOn w:val="DefaultParagraphFont"/>
    <w:rsid w:val="005B378E"/>
  </w:style>
  <w:style w:type="paragraph" w:styleId="HTMLAddress">
    <w:name w:val="HTML Address"/>
    <w:basedOn w:val="Normal"/>
    <w:link w:val="HTMLAddressChar"/>
    <w:rsid w:val="005B378E"/>
    <w:rPr>
      <w:i/>
      <w:iCs/>
    </w:rPr>
  </w:style>
  <w:style w:type="character" w:customStyle="1" w:styleId="HTMLAddressChar">
    <w:name w:val="HTML Address Char"/>
    <w:link w:val="HTMLAddress"/>
    <w:rsid w:val="005B378E"/>
    <w:rPr>
      <w:rFonts w:ascii="Tahoma" w:eastAsia="Times New Roman" w:hAnsi="Tahoma" w:cs="Times New Roman"/>
      <w:i/>
      <w:iCs/>
      <w:sz w:val="20"/>
      <w:lang w:val="en-GB" w:eastAsia="en-GB"/>
    </w:rPr>
  </w:style>
  <w:style w:type="character" w:styleId="HTMLCite">
    <w:name w:val="HTML Cite"/>
    <w:rsid w:val="005B378E"/>
    <w:rPr>
      <w:i/>
      <w:iCs/>
    </w:rPr>
  </w:style>
  <w:style w:type="character" w:styleId="HTMLCode">
    <w:name w:val="HTML Code"/>
    <w:rsid w:val="005B378E"/>
    <w:rPr>
      <w:rFonts w:ascii="Courier New" w:hAnsi="Courier New" w:cs="Courier New"/>
      <w:sz w:val="20"/>
      <w:szCs w:val="20"/>
    </w:rPr>
  </w:style>
  <w:style w:type="character" w:styleId="HTMLDefinition">
    <w:name w:val="HTML Definition"/>
    <w:rsid w:val="005B378E"/>
    <w:rPr>
      <w:i/>
      <w:iCs/>
    </w:rPr>
  </w:style>
  <w:style w:type="character" w:styleId="HTMLKeyboard">
    <w:name w:val="HTML Keyboard"/>
    <w:rsid w:val="005B378E"/>
    <w:rPr>
      <w:rFonts w:ascii="Courier New" w:hAnsi="Courier New" w:cs="Courier New"/>
      <w:sz w:val="20"/>
      <w:szCs w:val="20"/>
    </w:rPr>
  </w:style>
  <w:style w:type="paragraph" w:styleId="HTMLPreformatted">
    <w:name w:val="HTML Preformatted"/>
    <w:basedOn w:val="Normal"/>
    <w:link w:val="HTMLPreformattedChar"/>
    <w:rsid w:val="005B378E"/>
    <w:rPr>
      <w:rFonts w:ascii="Courier New" w:hAnsi="Courier New" w:cs="Courier New"/>
      <w:szCs w:val="20"/>
    </w:rPr>
  </w:style>
  <w:style w:type="character" w:customStyle="1" w:styleId="HTMLPreformattedChar">
    <w:name w:val="HTML Preformatted Char"/>
    <w:link w:val="HTMLPreformatted"/>
    <w:rsid w:val="005B378E"/>
    <w:rPr>
      <w:rFonts w:ascii="Courier New" w:eastAsia="Times New Roman" w:hAnsi="Courier New" w:cs="Courier New"/>
      <w:sz w:val="20"/>
      <w:szCs w:val="20"/>
      <w:lang w:val="en-GB" w:eastAsia="en-GB"/>
    </w:rPr>
  </w:style>
  <w:style w:type="character" w:styleId="HTMLSample">
    <w:name w:val="HTML Sample"/>
    <w:rsid w:val="005B378E"/>
    <w:rPr>
      <w:rFonts w:ascii="Courier New" w:hAnsi="Courier New" w:cs="Courier New"/>
    </w:rPr>
  </w:style>
  <w:style w:type="character" w:styleId="HTMLTypewriter">
    <w:name w:val="HTML Typewriter"/>
    <w:rsid w:val="005B378E"/>
    <w:rPr>
      <w:rFonts w:ascii="Courier New" w:hAnsi="Courier New" w:cs="Courier New"/>
      <w:sz w:val="20"/>
      <w:szCs w:val="20"/>
    </w:rPr>
  </w:style>
  <w:style w:type="character" w:styleId="HTMLVariable">
    <w:name w:val="HTML Variable"/>
    <w:rsid w:val="005B378E"/>
    <w:rPr>
      <w:i/>
      <w:iCs/>
    </w:rPr>
  </w:style>
  <w:style w:type="character" w:styleId="LineNumber">
    <w:name w:val="line number"/>
    <w:basedOn w:val="DefaultParagraphFont"/>
    <w:rsid w:val="005B378E"/>
  </w:style>
  <w:style w:type="paragraph" w:styleId="MessageHeader">
    <w:name w:val="Message Header"/>
    <w:basedOn w:val="Normal"/>
    <w:link w:val="MessageHeaderChar"/>
    <w:rsid w:val="005B378E"/>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character" w:customStyle="1" w:styleId="MessageHeaderChar">
    <w:name w:val="Message Header Char"/>
    <w:link w:val="MessageHeader"/>
    <w:rsid w:val="005B378E"/>
    <w:rPr>
      <w:rFonts w:ascii="Arial" w:eastAsia="Times New Roman" w:hAnsi="Arial" w:cs="Arial"/>
      <w:shd w:val="pct20" w:color="auto" w:fill="auto"/>
      <w:lang w:val="en-GB" w:eastAsia="en-GB"/>
    </w:rPr>
  </w:style>
  <w:style w:type="paragraph" w:styleId="NormalWeb">
    <w:name w:val="Normal (Web)"/>
    <w:basedOn w:val="Normal"/>
    <w:rsid w:val="005B378E"/>
    <w:rPr>
      <w:rFonts w:ascii="Times New Roman" w:hAnsi="Times New Roman"/>
      <w:sz w:val="24"/>
    </w:rPr>
  </w:style>
  <w:style w:type="paragraph" w:styleId="NoteHeading">
    <w:name w:val="Note Heading"/>
    <w:basedOn w:val="Normal"/>
    <w:next w:val="Normal"/>
    <w:link w:val="NoteHeadingChar"/>
    <w:rsid w:val="005B378E"/>
  </w:style>
  <w:style w:type="character" w:customStyle="1" w:styleId="NoteHeadingChar">
    <w:name w:val="Note Heading Char"/>
    <w:link w:val="NoteHeading"/>
    <w:rsid w:val="005B378E"/>
    <w:rPr>
      <w:rFonts w:ascii="Tahoma" w:eastAsia="Times New Roman" w:hAnsi="Tahoma" w:cs="Times New Roman"/>
      <w:sz w:val="20"/>
      <w:lang w:val="en-GB" w:eastAsia="en-GB"/>
    </w:rPr>
  </w:style>
  <w:style w:type="paragraph" w:styleId="PlainText">
    <w:name w:val="Plain Text"/>
    <w:basedOn w:val="Normal"/>
    <w:link w:val="PlainTextChar"/>
    <w:rsid w:val="005B378E"/>
    <w:rPr>
      <w:rFonts w:ascii="Courier New" w:hAnsi="Courier New" w:cs="Courier New"/>
      <w:szCs w:val="20"/>
    </w:rPr>
  </w:style>
  <w:style w:type="character" w:customStyle="1" w:styleId="PlainTextChar">
    <w:name w:val="Plain Text Char"/>
    <w:link w:val="PlainText"/>
    <w:rsid w:val="005B378E"/>
    <w:rPr>
      <w:rFonts w:ascii="Courier New" w:eastAsia="Times New Roman" w:hAnsi="Courier New" w:cs="Courier New"/>
      <w:sz w:val="20"/>
      <w:szCs w:val="20"/>
      <w:lang w:val="en-GB" w:eastAsia="en-GB"/>
    </w:rPr>
  </w:style>
  <w:style w:type="paragraph" w:styleId="Salutation">
    <w:name w:val="Salutation"/>
    <w:basedOn w:val="Normal"/>
    <w:next w:val="Normal"/>
    <w:link w:val="SalutationChar"/>
    <w:rsid w:val="005B378E"/>
  </w:style>
  <w:style w:type="character" w:customStyle="1" w:styleId="SalutationChar">
    <w:name w:val="Salutation Char"/>
    <w:link w:val="Salutation"/>
    <w:rsid w:val="005B378E"/>
    <w:rPr>
      <w:rFonts w:ascii="Tahoma" w:eastAsia="Times New Roman" w:hAnsi="Tahoma" w:cs="Times New Roman"/>
      <w:sz w:val="20"/>
      <w:lang w:val="en-GB" w:eastAsia="en-GB"/>
    </w:rPr>
  </w:style>
  <w:style w:type="paragraph" w:styleId="Signature">
    <w:name w:val="Signature"/>
    <w:basedOn w:val="Normal"/>
    <w:link w:val="SignatureChar"/>
    <w:rsid w:val="005B378E"/>
    <w:pPr>
      <w:ind w:left="4252"/>
    </w:pPr>
  </w:style>
  <w:style w:type="character" w:customStyle="1" w:styleId="SignatureChar">
    <w:name w:val="Signature Char"/>
    <w:link w:val="Signature"/>
    <w:rsid w:val="005B378E"/>
    <w:rPr>
      <w:rFonts w:ascii="Tahoma" w:eastAsia="Times New Roman" w:hAnsi="Tahoma" w:cs="Times New Roman"/>
      <w:sz w:val="20"/>
      <w:lang w:val="en-GB" w:eastAsia="en-GB"/>
    </w:rPr>
  </w:style>
  <w:style w:type="character" w:styleId="Strong">
    <w:name w:val="Strong"/>
    <w:qFormat/>
    <w:rsid w:val="005B378E"/>
    <w:rPr>
      <w:b/>
      <w:bCs/>
    </w:rPr>
  </w:style>
  <w:style w:type="table" w:styleId="Table3Deffects1">
    <w:name w:val="Table 3D effects 1"/>
    <w:basedOn w:val="TableNormal"/>
    <w:rsid w:val="005B378E"/>
    <w:pPr>
      <w:spacing w:line="300" w:lineRule="atLeast"/>
    </w:pPr>
    <w:rPr>
      <w:rFonts w:ascii="Times New Roman" w:eastAsia="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5B378E"/>
    <w:pPr>
      <w:spacing w:line="300" w:lineRule="atLeast"/>
    </w:pPr>
    <w:rPr>
      <w:rFonts w:ascii="Times New Roman" w:eastAsia="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5B378E"/>
    <w:pPr>
      <w:spacing w:line="300" w:lineRule="atLeast"/>
    </w:pPr>
    <w:rPr>
      <w:rFonts w:ascii="Times New Roman" w:eastAsia="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5B378E"/>
    <w:pPr>
      <w:spacing w:line="300" w:lineRule="atLeast"/>
    </w:pPr>
    <w:rPr>
      <w:rFonts w:ascii="Times New Roman" w:eastAsia="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5B378E"/>
    <w:pPr>
      <w:spacing w:line="300" w:lineRule="atLeast"/>
    </w:pPr>
    <w:rPr>
      <w:rFonts w:ascii="Times New Roman" w:eastAsia="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5B378E"/>
    <w:pPr>
      <w:spacing w:line="300" w:lineRule="atLeast"/>
    </w:pPr>
    <w:rPr>
      <w:rFonts w:ascii="Times New Roman" w:eastAsia="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5B378E"/>
    <w:pPr>
      <w:spacing w:line="300" w:lineRule="atLeast"/>
    </w:pPr>
    <w:rPr>
      <w:rFonts w:ascii="Times New Roman" w:eastAsia="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5B378E"/>
    <w:pPr>
      <w:spacing w:line="300" w:lineRule="atLeast"/>
    </w:pPr>
    <w:rPr>
      <w:rFonts w:ascii="Times New Roman" w:eastAsia="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5B378E"/>
    <w:pPr>
      <w:spacing w:line="300" w:lineRule="atLeast"/>
    </w:pPr>
    <w:rPr>
      <w:rFonts w:ascii="Times New Roman" w:eastAsia="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5B378E"/>
    <w:pPr>
      <w:spacing w:line="300" w:lineRule="atLeast"/>
    </w:pPr>
    <w:rPr>
      <w:rFonts w:ascii="Times New Roman" w:eastAsia="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5B378E"/>
    <w:pPr>
      <w:spacing w:line="300" w:lineRule="atLeast"/>
    </w:pPr>
    <w:rPr>
      <w:rFonts w:ascii="Times New Roman" w:eastAsia="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5B378E"/>
    <w:pPr>
      <w:spacing w:line="300" w:lineRule="atLeast"/>
    </w:pPr>
    <w:rPr>
      <w:rFonts w:ascii="Times New Roman" w:eastAsia="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5B378E"/>
    <w:pPr>
      <w:spacing w:line="300" w:lineRule="atLeast"/>
    </w:pPr>
    <w:rPr>
      <w:rFonts w:ascii="Times New Roman" w:eastAsia="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5B378E"/>
    <w:pPr>
      <w:spacing w:line="300" w:lineRule="atLeast"/>
    </w:pPr>
    <w:rPr>
      <w:rFonts w:ascii="Times New Roman" w:eastAsia="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5B378E"/>
    <w:pPr>
      <w:spacing w:line="300" w:lineRule="atLeast"/>
    </w:pPr>
    <w:rPr>
      <w:rFonts w:ascii="Times New Roman" w:eastAsia="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5B378E"/>
    <w:pPr>
      <w:spacing w:line="300" w:lineRule="atLeast"/>
    </w:pPr>
    <w:rPr>
      <w:rFonts w:ascii="Times New Roman" w:eastAsia="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5B378E"/>
    <w:pPr>
      <w:spacing w:line="300" w:lineRule="atLeast"/>
    </w:pPr>
    <w:rPr>
      <w:rFonts w:ascii="Times New Roman" w:eastAsia="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5B378E"/>
    <w:pPr>
      <w:spacing w:line="300" w:lineRule="atLeast"/>
    </w:pPr>
    <w:rPr>
      <w:rFonts w:ascii="Times New Roman" w:eastAsia="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5B378E"/>
    <w:pPr>
      <w:spacing w:line="300" w:lineRule="atLeast"/>
    </w:pPr>
    <w:rPr>
      <w:rFonts w:ascii="Times New Roman" w:eastAsia="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5B378E"/>
    <w:pPr>
      <w:spacing w:line="300" w:lineRule="atLeast"/>
    </w:pPr>
    <w:rPr>
      <w:rFonts w:ascii="Times New Roman" w:eastAsia="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5B378E"/>
    <w:pPr>
      <w:spacing w:line="300" w:lineRule="atLeast"/>
    </w:pPr>
    <w:rPr>
      <w:rFonts w:ascii="Times New Roman" w:eastAsia="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5B378E"/>
    <w:pPr>
      <w:spacing w:line="300" w:lineRule="atLeast"/>
    </w:pPr>
    <w:rPr>
      <w:rFonts w:ascii="Times New Roman" w:eastAsia="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5B378E"/>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5B378E"/>
    <w:pPr>
      <w:spacing w:line="300" w:lineRule="atLeast"/>
    </w:pPr>
    <w:rPr>
      <w:rFonts w:ascii="Times New Roman" w:eastAsia="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5B378E"/>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5B378E"/>
    <w:pPr>
      <w:spacing w:line="300" w:lineRule="atLeast"/>
    </w:pPr>
    <w:rPr>
      <w:rFonts w:ascii="Times New Roman" w:eastAsia="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5B378E"/>
    <w:pPr>
      <w:spacing w:line="300" w:lineRule="atLeast"/>
    </w:pPr>
    <w:rPr>
      <w:rFonts w:ascii="Times New Roman" w:eastAsia="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5B378E"/>
    <w:pPr>
      <w:spacing w:line="300" w:lineRule="atLeast"/>
    </w:pPr>
    <w:rPr>
      <w:rFonts w:ascii="Times New Roman" w:eastAsia="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B378E"/>
    <w:pPr>
      <w:spacing w:line="300" w:lineRule="atLeast"/>
    </w:pPr>
    <w:rPr>
      <w:rFonts w:ascii="Times New Roman" w:eastAsia="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B378E"/>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5B378E"/>
    <w:pPr>
      <w:spacing w:line="300" w:lineRule="atLeast"/>
    </w:pPr>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5B378E"/>
    <w:pPr>
      <w:spacing w:line="300" w:lineRule="atLeast"/>
    </w:pPr>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5B378E"/>
    <w:pPr>
      <w:spacing w:line="300" w:lineRule="atLeast"/>
    </w:pPr>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5B378E"/>
    <w:pPr>
      <w:numPr>
        <w:numId w:val="13"/>
      </w:numPr>
    </w:pPr>
    <w:rPr>
      <w:sz w:val="24"/>
    </w:rPr>
  </w:style>
  <w:style w:type="paragraph" w:customStyle="1" w:styleId="BodyTest5">
    <w:name w:val="Body Test 5"/>
    <w:basedOn w:val="BodyText4"/>
    <w:rsid w:val="005B378E"/>
    <w:rPr>
      <w:b/>
      <w:color w:val="00B274"/>
    </w:rPr>
  </w:style>
  <w:style w:type="paragraph" w:styleId="ListBullet">
    <w:name w:val="List Bullet"/>
    <w:basedOn w:val="Normal"/>
    <w:link w:val="ListBulletChar"/>
    <w:rsid w:val="005B378E"/>
    <w:pPr>
      <w:tabs>
        <w:tab w:val="left" w:pos="266"/>
      </w:tabs>
    </w:pPr>
    <w:rPr>
      <w:color w:val="00B274"/>
    </w:rPr>
  </w:style>
  <w:style w:type="paragraph" w:styleId="ListBullet3">
    <w:name w:val="List Bullet 3"/>
    <w:basedOn w:val="ListBullet"/>
    <w:link w:val="ListBullet3Char"/>
    <w:rsid w:val="005B378E"/>
    <w:pPr>
      <w:numPr>
        <w:numId w:val="6"/>
      </w:numPr>
    </w:pPr>
    <w:rPr>
      <w:color w:val="auto"/>
    </w:rPr>
  </w:style>
  <w:style w:type="character" w:customStyle="1" w:styleId="ListBulletChar">
    <w:name w:val="List Bullet Char"/>
    <w:link w:val="ListBullet"/>
    <w:rsid w:val="005B378E"/>
    <w:rPr>
      <w:rFonts w:ascii="Tahoma" w:eastAsia="Times New Roman" w:hAnsi="Tahoma" w:cs="Times New Roman"/>
      <w:color w:val="00B274"/>
      <w:sz w:val="20"/>
      <w:lang w:val="en-GB" w:eastAsia="en-GB"/>
    </w:rPr>
  </w:style>
  <w:style w:type="character" w:customStyle="1" w:styleId="ListBullet3Char">
    <w:name w:val="List Bullet 3 Char"/>
    <w:link w:val="ListBullet3"/>
    <w:rsid w:val="005B378E"/>
    <w:rPr>
      <w:rFonts w:ascii="Arial" w:eastAsia="Times New Roman" w:hAnsi="Arial"/>
      <w:szCs w:val="24"/>
    </w:rPr>
  </w:style>
  <w:style w:type="paragraph" w:styleId="ListBullet4">
    <w:name w:val="List Bullet 4"/>
    <w:basedOn w:val="ListBullet3"/>
    <w:rsid w:val="005B378E"/>
    <w:pPr>
      <w:numPr>
        <w:numId w:val="8"/>
      </w:numPr>
      <w:tabs>
        <w:tab w:val="clear" w:pos="266"/>
        <w:tab w:val="clear" w:pos="2835"/>
        <w:tab w:val="num" w:pos="284"/>
      </w:tabs>
      <w:ind w:left="284" w:hanging="284"/>
    </w:pPr>
  </w:style>
  <w:style w:type="paragraph" w:styleId="ListBullet5">
    <w:name w:val="List Bullet 5"/>
    <w:basedOn w:val="ListBullet4"/>
    <w:rsid w:val="005B378E"/>
    <w:pPr>
      <w:numPr>
        <w:numId w:val="7"/>
      </w:numPr>
      <w:tabs>
        <w:tab w:val="clear" w:pos="2835"/>
        <w:tab w:val="num" w:pos="284"/>
      </w:tabs>
      <w:ind w:left="284" w:hanging="284"/>
    </w:pPr>
  </w:style>
  <w:style w:type="paragraph" w:styleId="ListContinue">
    <w:name w:val="List Continue"/>
    <w:basedOn w:val="ListBullet"/>
    <w:link w:val="ListContinueChar"/>
    <w:rsid w:val="005B378E"/>
    <w:pPr>
      <w:pBdr>
        <w:bottom w:val="single" w:sz="4" w:space="6" w:color="008576"/>
      </w:pBdr>
    </w:pPr>
  </w:style>
  <w:style w:type="paragraph" w:styleId="ListContinue2">
    <w:name w:val="List Continue 2"/>
    <w:basedOn w:val="Normal"/>
    <w:rsid w:val="005B378E"/>
    <w:pPr>
      <w:numPr>
        <w:numId w:val="9"/>
      </w:numPr>
    </w:pPr>
    <w:rPr>
      <w:b/>
    </w:rPr>
  </w:style>
  <w:style w:type="paragraph" w:styleId="ListContinue3">
    <w:name w:val="List Continue 3"/>
    <w:basedOn w:val="ListBullet2"/>
    <w:rsid w:val="005B378E"/>
    <w:pPr>
      <w:numPr>
        <w:numId w:val="0"/>
      </w:numPr>
      <w:pBdr>
        <w:bottom w:val="single" w:sz="4" w:space="4" w:color="008576"/>
      </w:pBdr>
      <w:tabs>
        <w:tab w:val="num" w:pos="2835"/>
      </w:tabs>
      <w:ind w:left="2835" w:hanging="2835"/>
    </w:pPr>
  </w:style>
  <w:style w:type="character" w:customStyle="1" w:styleId="ListContinueChar">
    <w:name w:val="List Continue Char"/>
    <w:link w:val="ListContinue"/>
    <w:rsid w:val="005B378E"/>
    <w:rPr>
      <w:rFonts w:ascii="Tahoma" w:eastAsia="Times New Roman" w:hAnsi="Tahoma" w:cs="Times New Roman"/>
      <w:color w:val="00B274"/>
      <w:sz w:val="20"/>
      <w:lang w:val="en-GB" w:eastAsia="en-GB"/>
    </w:rPr>
  </w:style>
  <w:style w:type="paragraph" w:styleId="ListContinue4">
    <w:name w:val="List Continue 4"/>
    <w:basedOn w:val="Normal"/>
    <w:rsid w:val="005B378E"/>
    <w:pPr>
      <w:numPr>
        <w:numId w:val="10"/>
      </w:numPr>
      <w:tabs>
        <w:tab w:val="clear" w:pos="3967"/>
      </w:tabs>
      <w:ind w:left="413" w:hanging="280"/>
    </w:pPr>
    <w:rPr>
      <w:color w:val="008576"/>
    </w:rPr>
  </w:style>
  <w:style w:type="paragraph" w:styleId="ListContinue5">
    <w:name w:val="List Continue 5"/>
    <w:basedOn w:val="Normal"/>
    <w:next w:val="ListContinue4"/>
    <w:rsid w:val="005B378E"/>
    <w:pPr>
      <w:numPr>
        <w:numId w:val="12"/>
      </w:numPr>
      <w:tabs>
        <w:tab w:val="clear" w:pos="2835"/>
      </w:tabs>
      <w:ind w:left="427" w:hanging="294"/>
    </w:pPr>
    <w:rPr>
      <w:color w:val="008576"/>
    </w:rPr>
  </w:style>
  <w:style w:type="paragraph" w:customStyle="1" w:styleId="ListContinue6">
    <w:name w:val="List Continue 6"/>
    <w:basedOn w:val="ListContinue5"/>
    <w:rsid w:val="005B378E"/>
    <w:pPr>
      <w:numPr>
        <w:numId w:val="11"/>
      </w:numPr>
      <w:tabs>
        <w:tab w:val="clear" w:pos="2968"/>
      </w:tabs>
      <w:ind w:left="441" w:hanging="308"/>
    </w:pPr>
  </w:style>
  <w:style w:type="paragraph" w:styleId="ListNumber3">
    <w:name w:val="List Number 3"/>
    <w:basedOn w:val="ListBullet2"/>
    <w:rsid w:val="005B378E"/>
    <w:pPr>
      <w:numPr>
        <w:numId w:val="0"/>
      </w:numPr>
      <w:tabs>
        <w:tab w:val="left" w:pos="840"/>
        <w:tab w:val="num" w:pos="2835"/>
      </w:tabs>
      <w:ind w:left="838" w:hanging="278"/>
    </w:pPr>
  </w:style>
  <w:style w:type="paragraph" w:styleId="TOC3">
    <w:name w:val="toc 3"/>
    <w:basedOn w:val="Heading4"/>
    <w:next w:val="Normal"/>
    <w:autoRedefine/>
    <w:rsid w:val="005B378E"/>
    <w:pPr>
      <w:keepNext w:val="0"/>
      <w:keepLines w:val="0"/>
      <w:spacing w:before="0"/>
      <w:ind w:left="400"/>
      <w:outlineLvl w:val="9"/>
    </w:pPr>
    <w:rPr>
      <w:rFonts w:ascii="Cambria" w:eastAsia="Times New Roman" w:hAnsi="Cambria"/>
      <w:b w:val="0"/>
      <w:bCs w:val="0"/>
      <w:i w:val="0"/>
      <w:iCs w:val="0"/>
      <w:color w:val="auto"/>
      <w:sz w:val="22"/>
      <w:szCs w:val="22"/>
    </w:rPr>
  </w:style>
  <w:style w:type="paragraph" w:styleId="TOC4">
    <w:name w:val="toc 4"/>
    <w:basedOn w:val="TOC5"/>
    <w:next w:val="Normal"/>
    <w:autoRedefine/>
    <w:rsid w:val="005B378E"/>
    <w:pPr>
      <w:ind w:left="600"/>
    </w:pPr>
  </w:style>
  <w:style w:type="paragraph" w:styleId="TOC5">
    <w:name w:val="toc 5"/>
    <w:basedOn w:val="BodyText4"/>
    <w:next w:val="Normal"/>
    <w:autoRedefine/>
    <w:rsid w:val="005B378E"/>
    <w:pPr>
      <w:spacing w:before="0" w:line="300" w:lineRule="atLeast"/>
      <w:ind w:left="800"/>
    </w:pPr>
    <w:rPr>
      <w:rFonts w:ascii="Cambria" w:hAnsi="Cambria"/>
      <w:sz w:val="20"/>
      <w:szCs w:val="20"/>
    </w:rPr>
  </w:style>
  <w:style w:type="paragraph" w:styleId="TOC6">
    <w:name w:val="toc 6"/>
    <w:basedOn w:val="Normal"/>
    <w:next w:val="Normal"/>
    <w:autoRedefine/>
    <w:rsid w:val="005B378E"/>
    <w:pPr>
      <w:ind w:left="1000"/>
    </w:pPr>
    <w:rPr>
      <w:rFonts w:ascii="Cambria" w:hAnsi="Cambria"/>
      <w:szCs w:val="20"/>
    </w:rPr>
  </w:style>
  <w:style w:type="paragraph" w:styleId="TOC7">
    <w:name w:val="toc 7"/>
    <w:basedOn w:val="Normal"/>
    <w:next w:val="Normal"/>
    <w:autoRedefine/>
    <w:rsid w:val="005B378E"/>
    <w:pPr>
      <w:ind w:left="1200"/>
    </w:pPr>
    <w:rPr>
      <w:rFonts w:ascii="Cambria" w:hAnsi="Cambria"/>
      <w:szCs w:val="20"/>
    </w:rPr>
  </w:style>
  <w:style w:type="paragraph" w:styleId="TOC8">
    <w:name w:val="toc 8"/>
    <w:basedOn w:val="Normal"/>
    <w:next w:val="Normal"/>
    <w:autoRedefine/>
    <w:rsid w:val="005B378E"/>
    <w:pPr>
      <w:ind w:left="1400"/>
    </w:pPr>
    <w:rPr>
      <w:rFonts w:ascii="Cambria" w:hAnsi="Cambria"/>
      <w:szCs w:val="20"/>
    </w:rPr>
  </w:style>
  <w:style w:type="paragraph" w:styleId="TOC9">
    <w:name w:val="toc 9"/>
    <w:basedOn w:val="Normal"/>
    <w:next w:val="Normal"/>
    <w:autoRedefine/>
    <w:rsid w:val="005B378E"/>
    <w:pPr>
      <w:ind w:left="1600"/>
    </w:pPr>
    <w:rPr>
      <w:rFonts w:ascii="Cambria" w:hAnsi="Cambria"/>
      <w:szCs w:val="20"/>
    </w:rPr>
  </w:style>
  <w:style w:type="character" w:customStyle="1" w:styleId="ListNumber2Char">
    <w:name w:val="List Number 2 Char"/>
    <w:link w:val="ListNumber2"/>
    <w:rsid w:val="005B378E"/>
    <w:rPr>
      <w:rFonts w:ascii="Arial" w:eastAsia="Times New Roman" w:hAnsi="Arial"/>
      <w:sz w:val="24"/>
      <w:szCs w:val="24"/>
    </w:rPr>
  </w:style>
  <w:style w:type="character" w:styleId="Hyperlink">
    <w:name w:val="Hyperlink"/>
    <w:rsid w:val="005B378E"/>
    <w:rPr>
      <w:color w:val="0000FF"/>
      <w:u w:val="single"/>
    </w:rPr>
  </w:style>
  <w:style w:type="paragraph" w:styleId="BalloonText">
    <w:name w:val="Balloon Text"/>
    <w:basedOn w:val="Normal"/>
    <w:link w:val="BalloonTextChar"/>
    <w:rsid w:val="005B378E"/>
    <w:rPr>
      <w:rFonts w:cs="Tahoma"/>
      <w:sz w:val="16"/>
      <w:szCs w:val="16"/>
    </w:rPr>
  </w:style>
  <w:style w:type="character" w:customStyle="1" w:styleId="BalloonTextChar">
    <w:name w:val="Balloon Text Char"/>
    <w:link w:val="BalloonText"/>
    <w:rsid w:val="005B378E"/>
    <w:rPr>
      <w:rFonts w:ascii="Tahoma" w:eastAsia="Times New Roman" w:hAnsi="Tahoma" w:cs="Tahoma"/>
      <w:sz w:val="16"/>
      <w:szCs w:val="16"/>
      <w:lang w:val="en-GB" w:eastAsia="en-GB"/>
    </w:rPr>
  </w:style>
  <w:style w:type="paragraph" w:customStyle="1" w:styleId="Question">
    <w:name w:val="Question"/>
    <w:basedOn w:val="TableHeading"/>
    <w:rsid w:val="005B378E"/>
    <w:rPr>
      <w:b/>
      <w:color w:val="FFFFFF"/>
    </w:rPr>
  </w:style>
  <w:style w:type="character" w:styleId="CommentReference">
    <w:name w:val="annotation reference"/>
    <w:rsid w:val="005B378E"/>
    <w:rPr>
      <w:sz w:val="16"/>
      <w:szCs w:val="16"/>
    </w:rPr>
  </w:style>
  <w:style w:type="paragraph" w:styleId="CommentText">
    <w:name w:val="annotation text"/>
    <w:basedOn w:val="Normal"/>
    <w:link w:val="CommentTextChar"/>
    <w:rsid w:val="005B378E"/>
    <w:rPr>
      <w:szCs w:val="20"/>
    </w:rPr>
  </w:style>
  <w:style w:type="character" w:customStyle="1" w:styleId="CommentTextChar">
    <w:name w:val="Comment Text Char"/>
    <w:link w:val="CommentText"/>
    <w:rsid w:val="005B378E"/>
    <w:rPr>
      <w:rFonts w:ascii="Tahoma" w:eastAsia="Times New Roman" w:hAnsi="Tahoma" w:cs="Times New Roman"/>
      <w:sz w:val="20"/>
      <w:szCs w:val="20"/>
      <w:lang w:val="en-GB" w:eastAsia="en-GB"/>
    </w:rPr>
  </w:style>
  <w:style w:type="paragraph" w:styleId="CommentSubject">
    <w:name w:val="annotation subject"/>
    <w:basedOn w:val="CommentText"/>
    <w:next w:val="CommentText"/>
    <w:link w:val="CommentSubjectChar"/>
    <w:rsid w:val="005B378E"/>
    <w:rPr>
      <w:b/>
      <w:bCs/>
    </w:rPr>
  </w:style>
  <w:style w:type="character" w:customStyle="1" w:styleId="CommentSubjectChar">
    <w:name w:val="Comment Subject Char"/>
    <w:link w:val="CommentSubject"/>
    <w:rsid w:val="005B378E"/>
    <w:rPr>
      <w:rFonts w:ascii="Tahoma" w:eastAsia="Times New Roman" w:hAnsi="Tahoma" w:cs="Times New Roman"/>
      <w:b/>
      <w:bCs/>
      <w:sz w:val="20"/>
      <w:szCs w:val="20"/>
      <w:lang w:val="en-GB" w:eastAsia="en-GB"/>
    </w:rPr>
  </w:style>
  <w:style w:type="character" w:styleId="FollowedHyperlink">
    <w:name w:val="FollowedHyperlink"/>
    <w:rsid w:val="009E7589"/>
    <w:rPr>
      <w:color w:val="800080"/>
      <w:u w:val="single"/>
    </w:rPr>
  </w:style>
  <w:style w:type="character" w:styleId="PageNumber">
    <w:name w:val="page number"/>
    <w:basedOn w:val="DefaultParagraphFont"/>
    <w:rsid w:val="00C954D7"/>
  </w:style>
  <w:style w:type="paragraph" w:customStyle="1" w:styleId="GridTable31">
    <w:name w:val="Grid Table 31"/>
    <w:basedOn w:val="Heading1"/>
    <w:next w:val="Normal"/>
    <w:uiPriority w:val="39"/>
    <w:unhideWhenUsed/>
    <w:qFormat/>
    <w:rsid w:val="00C954D7"/>
    <w:pPr>
      <w:keepLines/>
      <w:pBdr>
        <w:top w:val="none" w:sz="0" w:space="0" w:color="auto"/>
        <w:left w:val="none" w:sz="0" w:space="0" w:color="auto"/>
        <w:bottom w:val="none" w:sz="0" w:space="0" w:color="auto"/>
        <w:right w:val="none" w:sz="0" w:space="0" w:color="auto"/>
      </w:pBdr>
      <w:shd w:val="clear" w:color="auto" w:fill="auto"/>
      <w:spacing w:before="480" w:line="276" w:lineRule="auto"/>
      <w:ind w:right="0"/>
      <w:outlineLvl w:val="9"/>
    </w:pPr>
    <w:rPr>
      <w:rFonts w:ascii="Calibri" w:eastAsia="MS Gothic" w:hAnsi="Calibri" w:cs="Times New Roman"/>
      <w:iCs w:val="0"/>
      <w:color w:val="365F91"/>
      <w:kern w:val="0"/>
      <w:szCs w:val="28"/>
      <w:lang w:val="en-US" w:eastAsia="en-US"/>
    </w:rPr>
  </w:style>
  <w:style w:type="paragraph" w:customStyle="1" w:styleId="ColorfulList-Accent11">
    <w:name w:val="Colorful List - Accent 11"/>
    <w:basedOn w:val="Normal"/>
    <w:rsid w:val="00377752"/>
    <w:pPr>
      <w:ind w:left="720"/>
      <w:contextualSpacing/>
    </w:pPr>
  </w:style>
  <w:style w:type="paragraph" w:styleId="Caption">
    <w:name w:val="caption"/>
    <w:basedOn w:val="Normal"/>
    <w:next w:val="Normal"/>
    <w:qFormat/>
    <w:rsid w:val="00513631"/>
    <w:pPr>
      <w:spacing w:after="200" w:line="240" w:lineRule="auto"/>
    </w:pPr>
    <w:rPr>
      <w:b/>
      <w:bCs/>
      <w:color w:val="4F81BD"/>
      <w:sz w:val="18"/>
      <w:szCs w:val="18"/>
    </w:rPr>
  </w:style>
  <w:style w:type="paragraph" w:customStyle="1" w:styleId="ColorfulShading-Accent11">
    <w:name w:val="Colorful Shading - Accent 11"/>
    <w:hidden/>
    <w:rsid w:val="00FB71C1"/>
    <w:rPr>
      <w:rFonts w:ascii="Tahoma" w:eastAsia="Times New Roman" w:hAnsi="Tahoma"/>
      <w:szCs w:val="24"/>
    </w:rPr>
  </w:style>
  <w:style w:type="paragraph" w:customStyle="1" w:styleId="About02">
    <w:name w:val="About 02"/>
    <w:basedOn w:val="About01"/>
    <w:qFormat/>
    <w:rsid w:val="0086142A"/>
    <w:pPr>
      <w:shd w:val="clear" w:color="auto" w:fill="0096D7"/>
      <w:ind w:left="720" w:hanging="720"/>
    </w:pPr>
  </w:style>
  <w:style w:type="paragraph" w:customStyle="1" w:styleId="About03">
    <w:name w:val="About 03"/>
    <w:basedOn w:val="About01"/>
    <w:qFormat/>
    <w:rsid w:val="0086142A"/>
    <w:pPr>
      <w:shd w:val="clear" w:color="auto" w:fill="9A4D9E"/>
    </w:pPr>
  </w:style>
  <w:style w:type="paragraph" w:customStyle="1" w:styleId="About04">
    <w:name w:val="About 04"/>
    <w:basedOn w:val="About01"/>
    <w:qFormat/>
    <w:rsid w:val="0086142A"/>
    <w:pPr>
      <w:shd w:val="clear" w:color="auto" w:fill="F59114"/>
    </w:pPr>
  </w:style>
  <w:style w:type="paragraph" w:customStyle="1" w:styleId="Contents02">
    <w:name w:val="Contents 02"/>
    <w:basedOn w:val="Contents01"/>
    <w:next w:val="Normal"/>
    <w:qFormat/>
    <w:rsid w:val="005D4A2B"/>
    <w:p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Contents03">
    <w:name w:val="Contents 03"/>
    <w:basedOn w:val="Contents01"/>
    <w:qFormat/>
    <w:rsid w:val="006E7560"/>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Contents04">
    <w:name w:val="Contents 04"/>
    <w:basedOn w:val="Contents01"/>
    <w:qFormat/>
    <w:rsid w:val="006E7560"/>
    <w:pPr>
      <w:pBdr>
        <w:top w:val="single" w:sz="48" w:space="1" w:color="F59114"/>
        <w:left w:val="single" w:sz="48" w:space="4" w:color="F59114"/>
        <w:bottom w:val="single" w:sz="48" w:space="1" w:color="F59114"/>
        <w:right w:val="single" w:sz="48" w:space="4" w:color="F59114"/>
      </w:pBdr>
      <w:shd w:val="clear" w:color="auto" w:fill="F59114"/>
    </w:pPr>
  </w:style>
  <w:style w:type="paragraph" w:customStyle="1" w:styleId="Heading02">
    <w:name w:val="Heading 02"/>
    <w:basedOn w:val="Heading01"/>
    <w:next w:val="Normal"/>
    <w:qFormat/>
    <w:rsid w:val="006E7560"/>
    <w:p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Heading03">
    <w:name w:val="Heading 03"/>
    <w:basedOn w:val="Heading01"/>
    <w:next w:val="Normal"/>
    <w:qFormat/>
    <w:rsid w:val="006E7560"/>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Heading04">
    <w:name w:val="Heading 04"/>
    <w:basedOn w:val="Heading01"/>
    <w:next w:val="Normal"/>
    <w:qFormat/>
    <w:rsid w:val="006E7560"/>
    <w:pPr>
      <w:pBdr>
        <w:top w:val="single" w:sz="48" w:space="1" w:color="F59114"/>
        <w:left w:val="single" w:sz="48" w:space="4" w:color="F59114"/>
        <w:bottom w:val="single" w:sz="48" w:space="1" w:color="F59114"/>
        <w:right w:val="single" w:sz="48" w:space="4" w:color="F59114"/>
      </w:pBdr>
      <w:shd w:val="clear" w:color="auto" w:fill="F59114"/>
    </w:pPr>
  </w:style>
  <w:style w:type="paragraph" w:styleId="Header">
    <w:name w:val="header"/>
    <w:basedOn w:val="Normal"/>
    <w:link w:val="HeaderChar"/>
    <w:uiPriority w:val="99"/>
    <w:rsid w:val="0001312A"/>
    <w:pPr>
      <w:tabs>
        <w:tab w:val="center" w:pos="4320"/>
        <w:tab w:val="right" w:pos="8640"/>
      </w:tabs>
    </w:pPr>
  </w:style>
  <w:style w:type="character" w:customStyle="1" w:styleId="HeaderChar">
    <w:name w:val="Header Char"/>
    <w:link w:val="Header"/>
    <w:uiPriority w:val="99"/>
    <w:rsid w:val="0001312A"/>
    <w:rPr>
      <w:rFonts w:ascii="Tahoma" w:eastAsia="Times New Roman" w:hAnsi="Tahoma"/>
      <w:szCs w:val="24"/>
      <w:lang w:eastAsia="en-GB"/>
    </w:rPr>
  </w:style>
  <w:style w:type="paragraph" w:customStyle="1" w:styleId="Checklist">
    <w:name w:val="Checklist"/>
    <w:basedOn w:val="Contents01"/>
    <w:qFormat/>
    <w:rsid w:val="00D122BE"/>
    <w:rPr>
      <w:b/>
    </w:rPr>
  </w:style>
  <w:style w:type="paragraph" w:customStyle="1" w:styleId="TOCWGR">
    <w:name w:val="TOC WGR"/>
    <w:basedOn w:val="Normal"/>
    <w:qFormat/>
    <w:rsid w:val="003A016A"/>
    <w:pPr>
      <w:tabs>
        <w:tab w:val="left" w:pos="382"/>
        <w:tab w:val="right" w:pos="7655"/>
      </w:tabs>
      <w:ind w:right="318"/>
    </w:pPr>
    <w:rPr>
      <w:b/>
      <w:bCs/>
      <w:noProof/>
      <w:color w:val="0096D7"/>
      <w:sz w:val="24"/>
    </w:rPr>
  </w:style>
  <w:style w:type="paragraph" w:customStyle="1" w:styleId="TOCDMR">
    <w:name w:val="TOC DMR"/>
    <w:basedOn w:val="TOCWGR"/>
    <w:qFormat/>
    <w:rsid w:val="008A17EB"/>
    <w:rPr>
      <w:color w:val="9A4D9E"/>
    </w:rPr>
  </w:style>
  <w:style w:type="paragraph" w:customStyle="1" w:styleId="TOCFMR">
    <w:name w:val="TOC FMR"/>
    <w:basedOn w:val="TOCDMR"/>
    <w:qFormat/>
    <w:rsid w:val="008A17EB"/>
    <w:rPr>
      <w:color w:val="DA8111"/>
    </w:rPr>
  </w:style>
  <w:style w:type="paragraph" w:customStyle="1" w:styleId="MediumGrid21">
    <w:name w:val="Medium Grid 21"/>
    <w:rsid w:val="005C2175"/>
    <w:rPr>
      <w:rFonts w:ascii="Arial" w:eastAsia="Times New Roman" w:hAnsi="Arial"/>
      <w:szCs w:val="24"/>
    </w:rPr>
  </w:style>
  <w:style w:type="paragraph" w:styleId="ListParagraph">
    <w:name w:val="List Paragraph"/>
    <w:basedOn w:val="Normal"/>
    <w:uiPriority w:val="34"/>
    <w:qFormat/>
    <w:rsid w:val="006D73EA"/>
    <w:pPr>
      <w:ind w:left="720"/>
    </w:pPr>
  </w:style>
  <w:style w:type="paragraph" w:styleId="Revision">
    <w:name w:val="Revision"/>
    <w:hidden/>
    <w:rsid w:val="00670EE8"/>
    <w:rPr>
      <w:rFonts w:ascii="Arial" w:eastAsia="Times New Roman" w:hAnsi="Arial"/>
      <w:szCs w:val="24"/>
    </w:rPr>
  </w:style>
  <w:style w:type="paragraph" w:customStyle="1" w:styleId="Default">
    <w:name w:val="Default"/>
    <w:rsid w:val="009B449F"/>
    <w:pPr>
      <w:autoSpaceDE w:val="0"/>
      <w:autoSpaceDN w:val="0"/>
      <w:adjustRightInd w:val="0"/>
    </w:pPr>
    <w:rPr>
      <w:rFonts w:ascii="Arial" w:hAnsi="Arial" w:cs="Arial"/>
      <w:color w:val="000000"/>
      <w:sz w:val="24"/>
      <w:szCs w:val="24"/>
    </w:rPr>
  </w:style>
  <w:style w:type="paragraph" w:customStyle="1" w:styleId="GSBodyParawithnumb">
    <w:name w:val="GS Body Para with numb"/>
    <w:basedOn w:val="Normal"/>
    <w:link w:val="GSBodyParawithnumbChar"/>
    <w:qFormat/>
    <w:rsid w:val="003B615E"/>
    <w:pPr>
      <w:numPr>
        <w:ilvl w:val="1"/>
        <w:numId w:val="36"/>
      </w:numPr>
      <w:spacing w:after="240" w:line="280" w:lineRule="exact"/>
      <w:outlineLvl w:val="1"/>
    </w:pPr>
    <w:rPr>
      <w:rFonts w:asciiTheme="minorHAnsi" w:eastAsiaTheme="minorHAnsi" w:hAnsiTheme="minorHAnsi" w:cs="Arial"/>
      <w:color w:val="4D4D4D"/>
      <w:sz w:val="22"/>
      <w:szCs w:val="22"/>
      <w:lang w:eastAsia="en-US"/>
    </w:rPr>
  </w:style>
  <w:style w:type="character" w:customStyle="1" w:styleId="GSBodyParawithnumbChar">
    <w:name w:val="GS Body Para with numb Char"/>
    <w:basedOn w:val="DefaultParagraphFont"/>
    <w:link w:val="GSBodyParawithnumb"/>
    <w:rsid w:val="003B615E"/>
    <w:rPr>
      <w:rFonts w:asciiTheme="minorHAnsi" w:eastAsiaTheme="minorHAnsi" w:hAnsiTheme="minorHAnsi" w:cs="Arial"/>
      <w:color w:val="4D4D4D"/>
      <w:sz w:val="22"/>
      <w:szCs w:val="22"/>
      <w:lang w:eastAsia="en-US"/>
    </w:rPr>
  </w:style>
  <w:style w:type="paragraph" w:customStyle="1" w:styleId="GSHeading1withnumb">
    <w:name w:val="GS Heading 1 with numb"/>
    <w:basedOn w:val="Subtitle"/>
    <w:qFormat/>
    <w:rsid w:val="003B615E"/>
    <w:pPr>
      <w:numPr>
        <w:ilvl w:val="0"/>
        <w:numId w:val="36"/>
      </w:numPr>
      <w:pBdr>
        <w:bottom w:val="single" w:sz="2" w:space="5" w:color="CEE0CC"/>
      </w:pBdr>
      <w:tabs>
        <w:tab w:val="clear" w:pos="567"/>
        <w:tab w:val="num" w:pos="720"/>
      </w:tabs>
      <w:spacing w:before="40" w:after="80" w:line="300" w:lineRule="exact"/>
      <w:ind w:left="720" w:hanging="720"/>
      <w:outlineLvl w:val="1"/>
    </w:pPr>
    <w:rPr>
      <w:rFonts w:cs="Arial"/>
      <w:color w:val="3B9164"/>
      <w:sz w:val="28"/>
      <w:szCs w:val="40"/>
    </w:rPr>
  </w:style>
  <w:style w:type="paragraph" w:styleId="Subtitle">
    <w:name w:val="Subtitle"/>
    <w:basedOn w:val="Normal"/>
    <w:next w:val="Normal"/>
    <w:link w:val="SubtitleChar"/>
    <w:qFormat/>
    <w:rsid w:val="003B615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B615E"/>
    <w:rPr>
      <w:rFonts w:asciiTheme="minorHAnsi" w:eastAsiaTheme="minorEastAsia" w:hAnsiTheme="minorHAnsi" w:cstheme="minorBidi"/>
      <w:color w:val="5A5A5A" w:themeColor="text1" w:themeTint="A5"/>
      <w:spacing w:val="15"/>
      <w:sz w:val="22"/>
      <w:szCs w:val="22"/>
    </w:rPr>
  </w:style>
  <w:style w:type="paragraph" w:styleId="FootnoteText">
    <w:name w:val="footnote text"/>
    <w:basedOn w:val="Normal"/>
    <w:link w:val="FootnoteTextChar"/>
    <w:semiHidden/>
    <w:unhideWhenUsed/>
    <w:rsid w:val="004E5B3F"/>
    <w:pPr>
      <w:spacing w:before="0" w:after="0" w:line="240" w:lineRule="auto"/>
    </w:pPr>
    <w:rPr>
      <w:szCs w:val="20"/>
    </w:rPr>
  </w:style>
  <w:style w:type="character" w:customStyle="1" w:styleId="FootnoteTextChar">
    <w:name w:val="Footnote Text Char"/>
    <w:basedOn w:val="DefaultParagraphFont"/>
    <w:link w:val="FootnoteText"/>
    <w:semiHidden/>
    <w:rsid w:val="004E5B3F"/>
    <w:rPr>
      <w:rFonts w:ascii="Arial" w:eastAsia="Times New Roman" w:hAnsi="Arial"/>
    </w:rPr>
  </w:style>
  <w:style w:type="character" w:styleId="FootnoteReference">
    <w:name w:val="footnote reference"/>
    <w:basedOn w:val="DefaultParagraphFont"/>
    <w:semiHidden/>
    <w:unhideWhenUsed/>
    <w:rsid w:val="004E5B3F"/>
    <w:rPr>
      <w:vertAlign w:val="superscript"/>
    </w:rPr>
  </w:style>
  <w:style w:type="table" w:styleId="ListTable1Light">
    <w:name w:val="List Table 1 Light"/>
    <w:basedOn w:val="TableNormal"/>
    <w:uiPriority w:val="46"/>
    <w:rsid w:val="0046735A"/>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UnresolvedMention">
    <w:name w:val="Unresolved Mention"/>
    <w:basedOn w:val="DefaultParagraphFont"/>
    <w:uiPriority w:val="99"/>
    <w:semiHidden/>
    <w:unhideWhenUsed/>
    <w:rsid w:val="00C35840"/>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410183">
      <w:bodyDiv w:val="1"/>
      <w:marLeft w:val="0"/>
      <w:marRight w:val="0"/>
      <w:marTop w:val="0"/>
      <w:marBottom w:val="0"/>
      <w:divBdr>
        <w:top w:val="none" w:sz="0" w:space="0" w:color="auto"/>
        <w:left w:val="none" w:sz="0" w:space="0" w:color="auto"/>
        <w:bottom w:val="none" w:sz="0" w:space="0" w:color="auto"/>
        <w:right w:val="none" w:sz="0" w:space="0" w:color="auto"/>
      </w:divBdr>
    </w:div>
    <w:div w:id="133720050">
      <w:bodyDiv w:val="1"/>
      <w:marLeft w:val="0"/>
      <w:marRight w:val="0"/>
      <w:marTop w:val="0"/>
      <w:marBottom w:val="0"/>
      <w:divBdr>
        <w:top w:val="none" w:sz="0" w:space="0" w:color="auto"/>
        <w:left w:val="none" w:sz="0" w:space="0" w:color="auto"/>
        <w:bottom w:val="none" w:sz="0" w:space="0" w:color="auto"/>
        <w:right w:val="none" w:sz="0" w:space="0" w:color="auto"/>
      </w:divBdr>
      <w:divsChild>
        <w:div w:id="187986095">
          <w:marLeft w:val="547"/>
          <w:marRight w:val="0"/>
          <w:marTop w:val="0"/>
          <w:marBottom w:val="0"/>
          <w:divBdr>
            <w:top w:val="none" w:sz="0" w:space="0" w:color="auto"/>
            <w:left w:val="none" w:sz="0" w:space="0" w:color="auto"/>
            <w:bottom w:val="none" w:sz="0" w:space="0" w:color="auto"/>
            <w:right w:val="none" w:sz="0" w:space="0" w:color="auto"/>
          </w:divBdr>
        </w:div>
      </w:divsChild>
    </w:div>
    <w:div w:id="216673711">
      <w:bodyDiv w:val="1"/>
      <w:marLeft w:val="0"/>
      <w:marRight w:val="0"/>
      <w:marTop w:val="0"/>
      <w:marBottom w:val="0"/>
      <w:divBdr>
        <w:top w:val="none" w:sz="0" w:space="0" w:color="auto"/>
        <w:left w:val="none" w:sz="0" w:space="0" w:color="auto"/>
        <w:bottom w:val="none" w:sz="0" w:space="0" w:color="auto"/>
        <w:right w:val="none" w:sz="0" w:space="0" w:color="auto"/>
      </w:divBdr>
    </w:div>
    <w:div w:id="243996242">
      <w:bodyDiv w:val="1"/>
      <w:marLeft w:val="0"/>
      <w:marRight w:val="0"/>
      <w:marTop w:val="0"/>
      <w:marBottom w:val="0"/>
      <w:divBdr>
        <w:top w:val="none" w:sz="0" w:space="0" w:color="auto"/>
        <w:left w:val="none" w:sz="0" w:space="0" w:color="auto"/>
        <w:bottom w:val="none" w:sz="0" w:space="0" w:color="auto"/>
        <w:right w:val="none" w:sz="0" w:space="0" w:color="auto"/>
      </w:divBdr>
    </w:div>
    <w:div w:id="436801418">
      <w:bodyDiv w:val="1"/>
      <w:marLeft w:val="0"/>
      <w:marRight w:val="0"/>
      <w:marTop w:val="0"/>
      <w:marBottom w:val="0"/>
      <w:divBdr>
        <w:top w:val="none" w:sz="0" w:space="0" w:color="auto"/>
        <w:left w:val="none" w:sz="0" w:space="0" w:color="auto"/>
        <w:bottom w:val="none" w:sz="0" w:space="0" w:color="auto"/>
        <w:right w:val="none" w:sz="0" w:space="0" w:color="auto"/>
      </w:divBdr>
    </w:div>
    <w:div w:id="450367730">
      <w:bodyDiv w:val="1"/>
      <w:marLeft w:val="0"/>
      <w:marRight w:val="0"/>
      <w:marTop w:val="0"/>
      <w:marBottom w:val="0"/>
      <w:divBdr>
        <w:top w:val="none" w:sz="0" w:space="0" w:color="auto"/>
        <w:left w:val="none" w:sz="0" w:space="0" w:color="auto"/>
        <w:bottom w:val="none" w:sz="0" w:space="0" w:color="auto"/>
        <w:right w:val="none" w:sz="0" w:space="0" w:color="auto"/>
      </w:divBdr>
    </w:div>
    <w:div w:id="691421441">
      <w:bodyDiv w:val="1"/>
      <w:marLeft w:val="0"/>
      <w:marRight w:val="0"/>
      <w:marTop w:val="0"/>
      <w:marBottom w:val="0"/>
      <w:divBdr>
        <w:top w:val="none" w:sz="0" w:space="0" w:color="auto"/>
        <w:left w:val="none" w:sz="0" w:space="0" w:color="auto"/>
        <w:bottom w:val="none" w:sz="0" w:space="0" w:color="auto"/>
        <w:right w:val="none" w:sz="0" w:space="0" w:color="auto"/>
      </w:divBdr>
      <w:divsChild>
        <w:div w:id="1727413233">
          <w:marLeft w:val="547"/>
          <w:marRight w:val="0"/>
          <w:marTop w:val="0"/>
          <w:marBottom w:val="0"/>
          <w:divBdr>
            <w:top w:val="none" w:sz="0" w:space="0" w:color="auto"/>
            <w:left w:val="none" w:sz="0" w:space="0" w:color="auto"/>
            <w:bottom w:val="none" w:sz="0" w:space="0" w:color="auto"/>
            <w:right w:val="none" w:sz="0" w:space="0" w:color="auto"/>
          </w:divBdr>
        </w:div>
      </w:divsChild>
    </w:div>
    <w:div w:id="904799264">
      <w:bodyDiv w:val="1"/>
      <w:marLeft w:val="0"/>
      <w:marRight w:val="0"/>
      <w:marTop w:val="0"/>
      <w:marBottom w:val="0"/>
      <w:divBdr>
        <w:top w:val="none" w:sz="0" w:space="0" w:color="auto"/>
        <w:left w:val="none" w:sz="0" w:space="0" w:color="auto"/>
        <w:bottom w:val="none" w:sz="0" w:space="0" w:color="auto"/>
        <w:right w:val="none" w:sz="0" w:space="0" w:color="auto"/>
      </w:divBdr>
    </w:div>
    <w:div w:id="1403794933">
      <w:bodyDiv w:val="1"/>
      <w:marLeft w:val="0"/>
      <w:marRight w:val="0"/>
      <w:marTop w:val="0"/>
      <w:marBottom w:val="0"/>
      <w:divBdr>
        <w:top w:val="none" w:sz="0" w:space="0" w:color="auto"/>
        <w:left w:val="none" w:sz="0" w:space="0" w:color="auto"/>
        <w:bottom w:val="none" w:sz="0" w:space="0" w:color="auto"/>
        <w:right w:val="none" w:sz="0" w:space="0" w:color="auto"/>
      </w:divBdr>
    </w:div>
    <w:div w:id="1648779818">
      <w:bodyDiv w:val="1"/>
      <w:marLeft w:val="0"/>
      <w:marRight w:val="0"/>
      <w:marTop w:val="0"/>
      <w:marBottom w:val="0"/>
      <w:divBdr>
        <w:top w:val="none" w:sz="0" w:space="0" w:color="auto"/>
        <w:left w:val="none" w:sz="0" w:space="0" w:color="auto"/>
        <w:bottom w:val="none" w:sz="0" w:space="0" w:color="auto"/>
        <w:right w:val="none" w:sz="0" w:space="0" w:color="auto"/>
      </w:divBdr>
    </w:div>
    <w:div w:id="1940484174">
      <w:bodyDiv w:val="1"/>
      <w:marLeft w:val="0"/>
      <w:marRight w:val="0"/>
      <w:marTop w:val="0"/>
      <w:marBottom w:val="0"/>
      <w:divBdr>
        <w:top w:val="none" w:sz="0" w:space="0" w:color="auto"/>
        <w:left w:val="none" w:sz="0" w:space="0" w:color="auto"/>
        <w:bottom w:val="none" w:sz="0" w:space="0" w:color="auto"/>
        <w:right w:val="none" w:sz="0" w:space="0" w:color="auto"/>
      </w:divBdr>
    </w:div>
    <w:div w:id="1978024983">
      <w:bodyDiv w:val="1"/>
      <w:marLeft w:val="0"/>
      <w:marRight w:val="0"/>
      <w:marTop w:val="0"/>
      <w:marBottom w:val="0"/>
      <w:divBdr>
        <w:top w:val="none" w:sz="0" w:space="0" w:color="auto"/>
        <w:left w:val="none" w:sz="0" w:space="0" w:color="auto"/>
        <w:bottom w:val="none" w:sz="0" w:space="0" w:color="auto"/>
        <w:right w:val="none" w:sz="0" w:space="0" w:color="auto"/>
      </w:divBdr>
    </w:div>
  </w:divs>
  <w:allowPNG/>
  <w:pixelsPerInch w:val="72"/>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4.e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www.dcusa.co.uk" TargetMode="Externa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commentsExtended" Target="commentsExtended.xm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image" Target="media/image6.jpe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image" Target="media/image3.jpeg"/><Relationship Id="rId23" Type="http://schemas.openxmlformats.org/officeDocument/2006/relationships/hyperlink" Target="https://www.ofgem.gov.uk/publications-and-updates/reform-electricity-network-access-and-forward-looking-charges-working-paper?utm_source=Charging+Futures+-+electricity+transmission+and+distribution+network+users&amp;utm_campaign=2f885c10c9-CHARGING_FUTURES_2017_10_27&amp;utm_medium=email&amp;utm_term=0_f46a3d5be7-2f885c10c9-57611081&amp;mc_cid=2f885c10c9&amp;mc_eid=77f463bb3c" TargetMode="Externa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5.jpe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jpeg"/><Relationship Id="rId22" Type="http://schemas.openxmlformats.org/officeDocument/2006/relationships/hyperlink" Target="https://www.ofgem.gov.uk/publications-and-updates/targeted-charging-review-update-approach-reviewing-residual-charging-arrangements?utm_source=Charging+Futures+-+electricity+transmission+and+distribution+network+users&amp;utm_campaign=2f885c10c9-CHARGING_FUTURES_2017_10_27&amp;utm_medium=email&amp;utm_term=0_f46a3d5be7-2f885c10c9-57611081&amp;mc_cid=2f885c10c9&amp;mc_eid=77f463bb3c" TargetMode="External"/><Relationship Id="rId27" Type="http://schemas.microsoft.com/office/2011/relationships/people" Target="people.xml"/></Relationships>
</file>

<file path=word/_rels/header1.xml.rels><?xml version="1.0" encoding="UTF-8" standalone="yes"?>
<Relationships xmlns="http://schemas.openxmlformats.org/package/2006/relationships"><Relationship Id="rId1"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Information" ma:contentTypeID="0x01010033282546F0D44441B574BEAA5FBE93E4002B3257BACE968241912BFE9EB8BD18C2" ma:contentTypeVersion="2" ma:contentTypeDescription="" ma:contentTypeScope="" ma:versionID="ea3195f05da284f35ac85b5ad500b69f">
  <xsd:schema xmlns:xsd="http://www.w3.org/2001/XMLSchema" xmlns:xs="http://www.w3.org/2001/XMLSchema" xmlns:p="http://schemas.microsoft.com/office/2006/metadata/properties" xmlns:ns2="631298fc-6a88-4548-b7d9-3b164918c4a3" xmlns:ns3="http://schemas.microsoft.com/sharepoint/v3/fields" targetNamespace="http://schemas.microsoft.com/office/2006/metadata/properties" ma:root="true" ma:fieldsID="3079469c92d2de1bb2af4ec2a488c285" ns2:_="" ns3:_="">
    <xsd:import namespace="631298fc-6a88-4548-b7d9-3b164918c4a3"/>
    <xsd:import namespace="http://schemas.microsoft.com/sharepoint/v3/fields"/>
    <xsd:element name="properties">
      <xsd:complexType>
        <xsd:sequence>
          <xsd:element name="documentManagement">
            <xsd:complexType>
              <xsd:all>
                <xsd:element ref="ns2:Organisation" minOccurs="0"/>
                <xsd:element ref="ns2:_x003a_" minOccurs="0"/>
                <xsd:element ref="ns2:_x003a__x003a_" minOccurs="0"/>
                <xsd:element ref="ns3:_Status"/>
                <xsd:element ref="ns2:Classification" minOccurs="0"/>
                <xsd:element ref="ns2:Descripto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1298fc-6a88-4548-b7d9-3b164918c4a3" elementFormDefault="qualified">
    <xsd:import namespace="http://schemas.microsoft.com/office/2006/documentManagement/types"/>
    <xsd:import namespace="http://schemas.microsoft.com/office/infopath/2007/PartnerControls"/>
    <xsd:element name="Organisation" ma:index="8" nillable="true" ma:displayName="Organisation" ma:default="Choose an Organisation" ma:description="Choose from the drop-down menu or fill in a value" ma:format="Dropdown" ma:internalName="Organisation">
      <xsd:simpleType>
        <xsd:union memberTypes="dms:Text">
          <xsd:simpleType>
            <xsd:restriction base="dms:Choice">
              <xsd:enumeration value="Choose an Organisation"/>
              <xsd:enumeration value="Assoc Elec Producers"/>
              <xsd:enumeration value="Atomic Energy Auth"/>
              <xsd:enumeration value="BERR"/>
              <xsd:enumeration value="British Energy"/>
              <xsd:enumeration value="Brit Wind Energy Assoc"/>
              <xsd:enumeration value="Building Research Est"/>
              <xsd:enumeration value="Carbon Trust"/>
              <xsd:enumeration value="Cavendish"/>
              <xsd:enumeration value="Centrica"/>
              <xsd:enumeration value="Central Networks"/>
              <xsd:enumeration value="CE"/>
              <xsd:enumeration value="CEER"/>
              <xsd:enumeration value="CHPA"/>
              <xsd:enumeration value="Competition Commission"/>
              <xsd:enumeration value="DCLG"/>
              <xsd:enumeration value="DCUSA Ltd"/>
              <xsd:enumeration value="DECC"/>
              <xsd:enumeration value="DEFRA"/>
              <xsd:enumeration value="DETI (Northern Ireland)"/>
              <xsd:enumeration value="European Commission"/>
              <xsd:enumeration value="EdF"/>
              <xsd:enumeration value="Elec DNO"/>
              <xsd:enumeration value="ELEXON"/>
              <xsd:enumeration value="eon"/>
              <xsd:enumeration value="Electricity North West"/>
              <xsd:enumeration value="Energy Networks Association"/>
              <xsd:enumeration value="Energy Retail Association"/>
              <xsd:enumeration value="Energy Saving Trust"/>
              <xsd:enumeration value="energywatch"/>
              <xsd:enumeration value="ERGEG"/>
              <xsd:enumeration value="Ernst &amp; Young"/>
              <xsd:enumeration value="ESTA"/>
              <xsd:enumeration value="Gas DNs"/>
              <xsd:enumeration value="Gas Forum"/>
              <xsd:enumeration value="Gaz de France"/>
              <xsd:enumeration value="Government"/>
              <xsd:enumeration value="HM Revenue &amp; Customs"/>
              <xsd:enumeration value="HM Treasury"/>
              <xsd:enumeration value="House of Commons"/>
              <xsd:enumeration value="HSE"/>
              <xsd:enumeration value="IDNO"/>
              <xsd:enumeration value="IGT"/>
              <xsd:enumeration value="National Grid Gas"/>
              <xsd:enumeration value="National Grid Elec"/>
              <xsd:enumeration value="nPower"/>
              <xsd:enumeration value="NWOperators"/>
              <xsd:enumeration value="NEDL &amp;  YEDL"/>
              <xsd:enumeration value="Northern Gas Networks"/>
              <xsd:enumeration value="OFGEM"/>
              <xsd:enumeration value="OFREG"/>
              <xsd:enumeration value="OFT"/>
              <xsd:enumeration value="Parity"/>
              <xsd:enumeration value="Parl Renew &amp; Sustain Energy Grp"/>
              <xsd:enumeration value="Renewble Energy Assoc"/>
              <xsd:enumeration value="RWE"/>
              <xsd:enumeration value="Scotia Gas Networks"/>
              <xsd:enumeration value="Scottish and Southern"/>
              <xsd:enumeration value="Scottish Executive"/>
              <xsd:enumeration value="Scottish Power"/>
              <xsd:enumeration value="SmartestEnergy"/>
              <xsd:enumeration value="Suppliers"/>
              <xsd:enumeration value="Wales &amp; West Utilities"/>
              <xsd:enumeration value="Welsh Assembly"/>
              <xsd:enumeration value="WPD"/>
              <xsd:enumeration value="Xoserve"/>
              <xsd:enumeration value="-"/>
            </xsd:restriction>
          </xsd:simpleType>
        </xsd:union>
      </xsd:simpleType>
    </xsd:element>
    <xsd:element name="_x003a_" ma:index="9" nillable="true" ma:displayName=":" ma:description="To group documents together eg Responses with a Consultation Doc.  The format is Main Document Publication Date as YYYY/MM/DD - Main Document Title - Ref No &#10;(keep the Title part short and use copy and paste to ensure grouping works - check in Publication view)" ma:internalName="_x003A_">
      <xsd:simpleType>
        <xsd:restriction base="dms:Text">
          <xsd:maxLength value="255"/>
        </xsd:restriction>
      </xsd:simpleType>
    </xsd:element>
    <xsd:element name="_x003a__x003a_" ma:index="10" nillable="true" ma:displayName="::" ma:default="-Main Document" ma:description="Used to place Subsidiary Documents and Responses as 'children' to the Main Document, with Subsidiary Documents first" ma:format="Dropdown" ma:internalName="_x003A__x003A_" ma:readOnly="false">
      <xsd:simpleType>
        <xsd:restriction base="dms:Choice">
          <xsd:enumeration value="-Main Document"/>
          <xsd:enumeration value="-Subsidiary Document"/>
          <xsd:enumeration value="Response"/>
        </xsd:restriction>
      </xsd:simpleType>
    </xsd:element>
    <xsd:element name="Classification" ma:index="12" nillable="true" ma:displayName="Classification" ma:default="Unclassified" ma:format="Dropdown" ma:hidden="true" ma:internalName="Classification" ma:readOnly="false">
      <xsd:simpleType>
        <xsd:restriction base="dms:Choice">
          <xsd:enumeration value="Unclassified"/>
          <xsd:enumeration value="Protect"/>
          <xsd:enumeration value="Restricted"/>
        </xsd:restriction>
      </xsd:simpleType>
    </xsd:element>
    <xsd:element name="Descriptor" ma:index="13" nillable="true" ma:displayName="Descriptor" ma:format="Dropdown" ma:hidden="true" ma:internalName="Descriptor" ma:readOnly="false">
      <xsd:simpleType>
        <xsd:restriction base="dms:Choice">
          <xsd:enumeration value="Commercial"/>
          <xsd:enumeration value="Management"/>
          <xsd:enumeration value="Market Sensitive"/>
          <xsd:enumeration value="Staff"/>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tatus" ma:index="11" ma:displayName="Status" ma:default="Draft" ma:description="Choose the appropriate status from the drop-down" ma:format="Dropdown" ma:internalName="_Status" ma:readOnly="false">
      <xsd:simpleType>
        <xsd:restriction base="dms:Choice">
          <xsd:enumeration value="Draft"/>
          <xsd:enumeration value="For comment"/>
          <xsd:enumeration value="Peer Reviewed"/>
          <xsd:enumeration value="Head of Dept Reviewed"/>
          <xsd:enumeration value="Legally Reviewed"/>
          <xsd:enumeration value="MD Approved"/>
          <xsd:enumeration value="Final not for Registry"/>
          <xsd:enumeration value="Final and Sent to Registry"/>
          <xsd:enumeration value="Published"/>
          <xsd:enumeration value="For deletion review"/>
          <xsd:enumeration value="External Draft"/>
          <xsd:enumeration value="External for comment"/>
          <xsd:enumeration value="External for action"/>
          <xsd:enumeration value="External Final"/>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axOccurs="1" ma:displayName="Status">
          <xsd:simpleType xmlns:xs="http://www.w3.org/2001/XMLSchema">
            <xsd:restriction base="xsd:string">
              <xsd:minLength value="1"/>
            </xsd:restriction>
          </xsd:simpleType>
        </xsd:element>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69773578-b348-4185-91b0-0c3a7eda8d2a" ContentTypeId="0x01010033282546F0D44441B574BEAA5FBE93E4" PreviousValue="false"/>
</file>

<file path=customXml/item4.xml><?xml version="1.0" encoding="utf-8"?>
<sisl xmlns:xsi="http://www.w3.org/2001/XMLSchema-instance" xmlns:xsd="http://www.w3.org/2001/XMLSchema" xmlns="http://www.boldonjames.com/2008/01/sie/internal/label" sislVersion="0" policy="973096ae-7329-4b3b-9368-47aeba6959e1"/>
</file>

<file path=customXml/item5.xml><?xml version="1.0" encoding="utf-8"?>
<p:properties xmlns:p="http://schemas.microsoft.com/office/2006/metadata/properties" xmlns:xsi="http://www.w3.org/2001/XMLSchema-instance" xmlns:pc="http://schemas.microsoft.com/office/infopath/2007/PartnerControls">
  <documentManagement>
    <_Status xmlns="http://schemas.microsoft.com/sharepoint/v3/fields">Draft</_Status>
    <Descriptor xmlns="631298fc-6a88-4548-b7d9-3b164918c4a3" xsi:nil="true"/>
    <_x003a_ xmlns="631298fc-6a88-4548-b7d9-3b164918c4a3" xsi:nil="true"/>
    <Classification xmlns="631298fc-6a88-4548-b7d9-3b164918c4a3">Unclassified</Classification>
    <_x003a__x003a_ xmlns="631298fc-6a88-4548-b7d9-3b164918c4a3">-Main Document</_x003a__x003a_>
    <Organisation xmlns="631298fc-6a88-4548-b7d9-3b164918c4a3">Choose an Organisation</Organisation>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16B431-8020-4C75-9AF2-D5110C3227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1298fc-6a88-4548-b7d9-3b164918c4a3"/>
    <ds:schemaRef ds:uri="http://schemas.microsoft.com/sharepoint/v3/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9841832-C4A4-4129-B8FE-006A22666741}">
  <ds:schemaRefs>
    <ds:schemaRef ds:uri="http://schemas.microsoft.com/sharepoint/v3/contenttype/forms"/>
  </ds:schemaRefs>
</ds:datastoreItem>
</file>

<file path=customXml/itemProps3.xml><?xml version="1.0" encoding="utf-8"?>
<ds:datastoreItem xmlns:ds="http://schemas.openxmlformats.org/officeDocument/2006/customXml" ds:itemID="{10033235-B48E-4EBD-8AD4-BDDB7785DD71}">
  <ds:schemaRefs>
    <ds:schemaRef ds:uri="Microsoft.SharePoint.Taxonomy.ContentTypeSync"/>
  </ds:schemaRefs>
</ds:datastoreItem>
</file>

<file path=customXml/itemProps4.xml><?xml version="1.0" encoding="utf-8"?>
<ds:datastoreItem xmlns:ds="http://schemas.openxmlformats.org/officeDocument/2006/customXml" ds:itemID="{129355E3-717D-4F8F-8E75-41C4DAA08C65}">
  <ds:schemaRefs>
    <ds:schemaRef ds:uri="http://www.w3.org/2001/XMLSchema"/>
    <ds:schemaRef ds:uri="http://www.boldonjames.com/2008/01/sie/internal/label"/>
  </ds:schemaRefs>
</ds:datastoreItem>
</file>

<file path=customXml/itemProps5.xml><?xml version="1.0" encoding="utf-8"?>
<ds:datastoreItem xmlns:ds="http://schemas.openxmlformats.org/officeDocument/2006/customXml" ds:itemID="{F4534278-1E11-4E11-BFCA-2539B4DD1CA9}">
  <ds:schemaRefs>
    <ds:schemaRef ds:uri="http://purl.org/dc/elements/1.1/"/>
    <ds:schemaRef ds:uri="http://schemas.microsoft.com/office/2006/metadata/properties"/>
    <ds:schemaRef ds:uri="631298fc-6a88-4548-b7d9-3b164918c4a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schemas.microsoft.com/sharepoint/v3/fields"/>
    <ds:schemaRef ds:uri="http://www.w3.org/XML/1998/namespace"/>
    <ds:schemaRef ds:uri="http://purl.org/dc/dcmitype/"/>
  </ds:schemaRefs>
</ds:datastoreItem>
</file>

<file path=customXml/itemProps6.xml><?xml version="1.0" encoding="utf-8"?>
<ds:datastoreItem xmlns:ds="http://schemas.openxmlformats.org/officeDocument/2006/customXml" ds:itemID="{3F3BCA2D-6AD1-41EF-9432-C63C11CCEC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11</Pages>
  <Words>3654</Words>
  <Characters>20834</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
    </vt:vector>
  </TitlesOfParts>
  <Company>Joint Office of Gas Transporters</Company>
  <LinksUpToDate>false</LinksUpToDate>
  <CharactersWithSpaces>24440</CharactersWithSpaces>
  <SharedDoc>false</SharedDoc>
  <HyperlinkBase/>
  <HLinks>
    <vt:vector size="6" baseType="variant">
      <vt:variant>
        <vt:i4>8192116</vt:i4>
      </vt:variant>
      <vt:variant>
        <vt:i4>33</vt:i4>
      </vt:variant>
      <vt:variant>
        <vt:i4>0</vt:i4>
      </vt:variant>
      <vt:variant>
        <vt:i4>5</vt:i4>
      </vt:variant>
      <vt:variant>
        <vt:lpwstr>http://www.dcusa.co.uk/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Helen Cuin</dc:creator>
  <cp:keywords/>
  <dc:description/>
  <cp:lastModifiedBy>Hollie Nicholls</cp:lastModifiedBy>
  <cp:revision>4</cp:revision>
  <cp:lastPrinted>2017-09-18T12:15:00Z</cp:lastPrinted>
  <dcterms:created xsi:type="dcterms:W3CDTF">2018-01-17T10:23:00Z</dcterms:created>
  <dcterms:modified xsi:type="dcterms:W3CDTF">2018-01-19T17:39:00Z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204bff1d-6644-483e-b76b-843ec8e10205</vt:lpwstr>
  </property>
  <property fmtid="{D5CDD505-2E9C-101B-9397-08002B2CF9AE}" pid="3" name="bjSaver">
    <vt:lpwstr>TVo/Hsn6gJtZJc254ngPP/4dQ/fNHcFB</vt:lpwstr>
  </property>
  <property fmtid="{D5CDD505-2E9C-101B-9397-08002B2CF9AE}" pid="4" name="ContentTypeId">
    <vt:lpwstr>0x01010033282546F0D44441B574BEAA5FBE93E4002B3257BACE968241912BFE9EB8BD18C2</vt:lpwstr>
  </property>
  <property fmtid="{D5CDD505-2E9C-101B-9397-08002B2CF9AE}" pid="5" name="bjDocumentSecurityLabel">
    <vt:lpwstr>This item has no classification</vt:lpwstr>
  </property>
</Properties>
</file>